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E50D4C" w14:textId="04663074" w:rsidR="00CA182E" w:rsidRPr="004F06F2" w:rsidRDefault="00CA182E">
      <w:pPr>
        <w:rPr>
          <w:rFonts w:ascii="GalanoGrotesque-Bold" w:eastAsiaTheme="majorEastAsia" w:hAnsi="GalanoGrotesque-Bold" w:cstheme="majorBidi"/>
          <w:b/>
          <w:color w:val="000000" w:themeColor="text1"/>
          <w:sz w:val="40"/>
          <w:szCs w:val="40"/>
        </w:rPr>
      </w:pPr>
      <w:bookmarkStart w:id="1" w:name="_GoBack"/>
      <w:bookmarkEnd w:id="1"/>
      <w:r w:rsidRPr="004F06F2">
        <w:rPr>
          <w:rFonts w:ascii="GalanoGrotesque-Bold" w:eastAsiaTheme="majorEastAsia" w:hAnsi="GalanoGrotesque-Bold" w:cstheme="majorBidi"/>
          <w:b/>
          <w:color w:val="000000" w:themeColor="text1"/>
          <w:sz w:val="40"/>
          <w:szCs w:val="40"/>
        </w:rPr>
        <w:br w:type="page"/>
      </w:r>
    </w:p>
    <w:p w14:paraId="7631AF73" w14:textId="77777777" w:rsidR="00770337" w:rsidRPr="004F06F2" w:rsidRDefault="00770337" w:rsidP="00723CF3">
      <w:pPr>
        <w:jc w:val="center"/>
        <w:rPr>
          <w:rFonts w:ascii="GalanoGrotesque-Bold" w:eastAsia="Calibri" w:hAnsi="GalanoGrotesque-Bold" w:cs="Times New Roman"/>
          <w:b/>
          <w:color w:val="000000"/>
          <w:sz w:val="32"/>
          <w:szCs w:val="32"/>
        </w:rPr>
      </w:pPr>
    </w:p>
    <w:p w14:paraId="35FB0A19" w14:textId="6B2B469C" w:rsidR="007F3EC4" w:rsidRPr="004F06F2" w:rsidRDefault="003E45D3" w:rsidP="007F3EC4">
      <w:pPr>
        <w:jc w:val="center"/>
        <w:rPr>
          <w:rFonts w:ascii="GalanoGrotesque-Bold" w:eastAsia="Calibri" w:hAnsi="GalanoGrotesque-Bold" w:cs="Times New Roman"/>
          <w:b/>
          <w:color w:val="000000"/>
          <w:sz w:val="32"/>
          <w:szCs w:val="32"/>
        </w:rPr>
      </w:pPr>
      <w:r w:rsidRPr="004F06F2">
        <w:rPr>
          <w:noProof/>
          <w:color w:val="864A04" w:themeColor="accent2" w:themeShade="80"/>
          <w:lang w:val="es-MX" w:eastAsia="es-MX"/>
        </w:rPr>
        <w:drawing>
          <wp:anchor distT="0" distB="0" distL="114300" distR="114300" simplePos="0" relativeHeight="252056064" behindDoc="1" locked="0" layoutInCell="1" allowOverlap="1" wp14:anchorId="1064D17D" wp14:editId="1F95549F">
            <wp:simplePos x="0" y="0"/>
            <wp:positionH relativeFrom="column">
              <wp:posOffset>-114200</wp:posOffset>
            </wp:positionH>
            <wp:positionV relativeFrom="paragraph">
              <wp:posOffset>-212792</wp:posOffset>
            </wp:positionV>
            <wp:extent cx="6351270" cy="8219440"/>
            <wp:effectExtent l="0" t="0" r="0" b="0"/>
            <wp:wrapNone/>
            <wp:docPr id="458" name="Imagen 458"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n 458" descr="Diagrama&#10;&#10;Descripción generada automáticamente con confianza media"/>
                    <pic:cNvPicPr/>
                  </pic:nvPicPr>
                  <pic:blipFill>
                    <a:blip r:embed="rId9">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7ABF3D9D" w14:textId="44040B02" w:rsidR="00CF46A5" w:rsidRPr="004F06F2" w:rsidRDefault="00CF46A5" w:rsidP="00CF46A5">
      <w:pPr>
        <w:rPr>
          <w:color w:val="864A04" w:themeColor="accent2" w:themeShade="80"/>
        </w:rPr>
      </w:pPr>
    </w:p>
    <w:p w14:paraId="15ABBCC1" w14:textId="15AFB09F" w:rsidR="001C74D7" w:rsidRPr="004F06F2" w:rsidRDefault="001C74D7" w:rsidP="001C74D7">
      <w:pPr>
        <w:rPr>
          <w:color w:val="864A04" w:themeColor="accent2" w:themeShade="80"/>
        </w:rPr>
      </w:pPr>
    </w:p>
    <w:p w14:paraId="7874F062" w14:textId="2066DD8A" w:rsidR="005214E3" w:rsidRPr="004F06F2" w:rsidRDefault="005214E3" w:rsidP="001C74D7">
      <w:pPr>
        <w:rPr>
          <w:color w:val="864A04" w:themeColor="accent2" w:themeShade="80"/>
        </w:rPr>
      </w:pPr>
    </w:p>
    <w:p w14:paraId="3936C940" w14:textId="6406E036" w:rsidR="005214E3" w:rsidRPr="004F06F2" w:rsidRDefault="005214E3" w:rsidP="001C74D7">
      <w:pPr>
        <w:rPr>
          <w:color w:val="864A04" w:themeColor="accent2" w:themeShade="80"/>
        </w:rPr>
      </w:pPr>
    </w:p>
    <w:p w14:paraId="05D37A97" w14:textId="25F96995" w:rsidR="005214E3" w:rsidRPr="004F06F2" w:rsidRDefault="005214E3" w:rsidP="001C74D7">
      <w:pPr>
        <w:rPr>
          <w:color w:val="864A04" w:themeColor="accent2" w:themeShade="80"/>
        </w:rPr>
      </w:pPr>
    </w:p>
    <w:p w14:paraId="1D129A45" w14:textId="77777777" w:rsidR="001C74D7" w:rsidRPr="004F06F2" w:rsidRDefault="001C74D7" w:rsidP="001C74D7">
      <w:pPr>
        <w:rPr>
          <w:color w:val="864A04" w:themeColor="accent2" w:themeShade="80"/>
        </w:rPr>
      </w:pPr>
    </w:p>
    <w:p w14:paraId="6DB5115F" w14:textId="77777777" w:rsidR="001C74D7" w:rsidRPr="004F06F2" w:rsidRDefault="001C74D7" w:rsidP="001C74D7">
      <w:pPr>
        <w:rPr>
          <w:color w:val="864A04" w:themeColor="accent2" w:themeShade="80"/>
        </w:rPr>
      </w:pPr>
    </w:p>
    <w:p w14:paraId="56684E37" w14:textId="77777777" w:rsidR="001C74D7" w:rsidRPr="004F06F2" w:rsidRDefault="001C74D7" w:rsidP="001C74D7">
      <w:pPr>
        <w:rPr>
          <w:noProof/>
          <w:lang w:eastAsia="es-MX"/>
        </w:rPr>
      </w:pPr>
    </w:p>
    <w:p w14:paraId="7A8D729D" w14:textId="77777777" w:rsidR="001C74D7" w:rsidRPr="004F06F2" w:rsidRDefault="001C74D7" w:rsidP="001C74D7">
      <w:pPr>
        <w:rPr>
          <w:noProof/>
          <w:lang w:eastAsia="es-MX"/>
        </w:rPr>
      </w:pPr>
    </w:p>
    <w:p w14:paraId="1F72DAB0" w14:textId="77777777" w:rsidR="001C74D7" w:rsidRPr="004F06F2" w:rsidRDefault="001C74D7" w:rsidP="001C74D7">
      <w:pPr>
        <w:rPr>
          <w:color w:val="864A04" w:themeColor="accent2" w:themeShade="80"/>
        </w:rPr>
      </w:pPr>
    </w:p>
    <w:p w14:paraId="143C49E9" w14:textId="77777777" w:rsidR="001C74D7" w:rsidRPr="004F06F2" w:rsidRDefault="001C74D7" w:rsidP="001C74D7">
      <w:pPr>
        <w:rPr>
          <w:color w:val="864A04" w:themeColor="accent2" w:themeShade="80"/>
        </w:rPr>
      </w:pPr>
      <w:r w:rsidRPr="004F06F2">
        <w:rPr>
          <w:color w:val="864A04" w:themeColor="accent2" w:themeShade="80"/>
        </w:rPr>
        <w:br w:type="page"/>
      </w:r>
    </w:p>
    <w:p w14:paraId="67EC3D6B" w14:textId="77777777" w:rsidR="00E72F3C" w:rsidRPr="004F06F2" w:rsidRDefault="00E72F3C" w:rsidP="00F76D9E">
      <w:pPr>
        <w:rPr>
          <w:rFonts w:ascii="GalanoGrotesque-Bold" w:eastAsia="Times New Roman" w:hAnsi="GalanoGrotesque-Bold" w:cs="Times New Roman"/>
          <w:b/>
          <w:sz w:val="22"/>
          <w:szCs w:val="28"/>
        </w:rPr>
      </w:pPr>
    </w:p>
    <w:p w14:paraId="6CFD208A" w14:textId="77777777" w:rsidR="00065CC6" w:rsidRPr="004F06F2" w:rsidRDefault="00065CC6" w:rsidP="00F76D9E">
      <w:pPr>
        <w:rPr>
          <w:rFonts w:ascii="GalanoGrotesque-Bold" w:eastAsia="Times New Roman" w:hAnsi="GalanoGrotesque-Bold" w:cs="Times New Roman"/>
          <w:b/>
          <w:sz w:val="22"/>
          <w:szCs w:val="28"/>
        </w:rPr>
      </w:pPr>
    </w:p>
    <w:p w14:paraId="45D632D6" w14:textId="77777777" w:rsidR="00B82D70" w:rsidRPr="004F06F2" w:rsidRDefault="00B82D70" w:rsidP="00CD477C">
      <w:pPr>
        <w:spacing w:before="0" w:after="0"/>
        <w:rPr>
          <w:rFonts w:eastAsia="Times New Roman" w:cs="Times New Roman"/>
          <w:b/>
          <w:sz w:val="26"/>
          <w:szCs w:val="22"/>
        </w:rPr>
      </w:pPr>
      <w:r w:rsidRPr="004F06F2">
        <w:rPr>
          <w:rFonts w:eastAsia="Times New Roman" w:cs="Times New Roman"/>
          <w:b/>
          <w:sz w:val="26"/>
          <w:szCs w:val="22"/>
        </w:rPr>
        <w:t>1.8 NOTAS A LOS ESTADOS FINANCIEROS</w:t>
      </w:r>
    </w:p>
    <w:p w14:paraId="45691A60" w14:textId="77777777" w:rsidR="00B82D70" w:rsidRPr="004F06F2" w:rsidRDefault="00B82D70" w:rsidP="00CD477C">
      <w:pPr>
        <w:spacing w:before="0" w:after="0"/>
        <w:rPr>
          <w:rFonts w:eastAsia="Calibri" w:cs="Times New Roman"/>
          <w:bCs/>
          <w:color w:val="000000"/>
          <w:sz w:val="22"/>
          <w:szCs w:val="22"/>
        </w:rPr>
      </w:pPr>
    </w:p>
    <w:p w14:paraId="6C25BE86" w14:textId="029617FE" w:rsidR="00B82D70" w:rsidRPr="004F06F2" w:rsidRDefault="00B82D70" w:rsidP="00CD477C">
      <w:pPr>
        <w:spacing w:before="0" w:after="0"/>
        <w:rPr>
          <w:rFonts w:eastAsia="Calibri" w:cs="Times New Roman"/>
          <w:bCs/>
          <w:color w:val="000000"/>
          <w:sz w:val="22"/>
          <w:szCs w:val="22"/>
        </w:rPr>
      </w:pPr>
      <w:r w:rsidRPr="004F06F2">
        <w:rPr>
          <w:rFonts w:eastAsia="Calibri" w:cs="Times New Roman"/>
          <w:bCs/>
          <w:color w:val="000000"/>
          <w:sz w:val="22"/>
          <w:szCs w:val="22"/>
        </w:rPr>
        <w:t xml:space="preserve">Las notas que se adjuntan al presente informe, son parte integrante de los estados financieros, correspondientes al </w:t>
      </w:r>
      <w:r w:rsidR="006514BE" w:rsidRPr="004F06F2">
        <w:rPr>
          <w:rFonts w:eastAsia="Calibri" w:cs="Times New Roman"/>
          <w:bCs/>
          <w:color w:val="000000"/>
          <w:sz w:val="22"/>
          <w:szCs w:val="22"/>
        </w:rPr>
        <w:t>Primer</w:t>
      </w:r>
      <w:r w:rsidRPr="004F06F2">
        <w:rPr>
          <w:rFonts w:eastAsia="Calibri" w:cs="Times New Roman"/>
          <w:bCs/>
          <w:color w:val="000000"/>
          <w:sz w:val="22"/>
          <w:szCs w:val="22"/>
        </w:rPr>
        <w:t xml:space="preserve"> Trimestre del ejercicio fiscal 202</w:t>
      </w:r>
      <w:r w:rsidR="006514BE" w:rsidRPr="004F06F2">
        <w:rPr>
          <w:rFonts w:eastAsia="Calibri" w:cs="Times New Roman"/>
          <w:bCs/>
          <w:color w:val="000000"/>
          <w:sz w:val="22"/>
          <w:szCs w:val="22"/>
        </w:rPr>
        <w:t>4</w:t>
      </w:r>
      <w:r w:rsidRPr="004F06F2">
        <w:rPr>
          <w:rFonts w:eastAsia="Calibri" w:cs="Times New Roman"/>
          <w:bCs/>
          <w:color w:val="000000"/>
          <w:sz w:val="22"/>
          <w:szCs w:val="22"/>
        </w:rPr>
        <w:t xml:space="preserve">; las cuales, tienen como propósito aclarar o detallar la información y cifras en los mismos, y se presentan </w:t>
      </w:r>
      <w:r w:rsidRPr="004F06F2">
        <w:rPr>
          <w:rFonts w:eastAsia="Calibri" w:cs="Times New Roman"/>
          <w:sz w:val="22"/>
          <w:szCs w:val="22"/>
        </w:rPr>
        <w:t>en cumplimiento de los artículos 47 y 49 de la Ley General de Contabilidad Gubernamental</w:t>
      </w:r>
      <w:r w:rsidRPr="004F06F2">
        <w:rPr>
          <w:rFonts w:eastAsia="Calibri" w:cs="Times New Roman"/>
          <w:bCs/>
          <w:color w:val="000000"/>
          <w:sz w:val="22"/>
          <w:szCs w:val="22"/>
        </w:rPr>
        <w:t xml:space="preserve"> y del </w:t>
      </w:r>
      <w:bookmarkStart w:id="2" w:name="_Hlk166236541"/>
      <w:r w:rsidRPr="004F06F2">
        <w:rPr>
          <w:rFonts w:eastAsia="Calibri" w:cs="Times New Roman"/>
          <w:bCs/>
          <w:color w:val="000000"/>
          <w:sz w:val="22"/>
          <w:szCs w:val="22"/>
        </w:rPr>
        <w:t>Acuerdo que reforma los Capítulos III y VII del Manual de Contabilidad Gubernamental, publicado en el Diario Oficial de la Federación del 27 de septiembre de 2018</w:t>
      </w:r>
      <w:r w:rsidR="00466200" w:rsidRPr="004F06F2">
        <w:rPr>
          <w:rFonts w:eastAsia="Calibri" w:cs="Times New Roman"/>
          <w:bCs/>
          <w:color w:val="000000"/>
          <w:sz w:val="22"/>
          <w:szCs w:val="22"/>
        </w:rPr>
        <w:t>,</w:t>
      </w:r>
      <w:r w:rsidRPr="004F06F2">
        <w:rPr>
          <w:rFonts w:eastAsia="Calibri" w:cs="Times New Roman"/>
          <w:bCs/>
          <w:color w:val="000000"/>
          <w:sz w:val="22"/>
          <w:szCs w:val="22"/>
        </w:rPr>
        <w:t xml:space="preserve"> 23 de diciembre del 2020</w:t>
      </w:r>
      <w:r w:rsidR="00466200" w:rsidRPr="004F06F2">
        <w:rPr>
          <w:rFonts w:eastAsia="Calibri" w:cs="Times New Roman"/>
          <w:bCs/>
          <w:color w:val="000000"/>
          <w:sz w:val="22"/>
          <w:szCs w:val="22"/>
        </w:rPr>
        <w:t xml:space="preserve"> y 6 de diciembre de 2022</w:t>
      </w:r>
      <w:r w:rsidR="0078025E" w:rsidRPr="004F06F2">
        <w:rPr>
          <w:rFonts w:eastAsia="Calibri" w:cs="Times New Roman"/>
          <w:bCs/>
          <w:color w:val="000000"/>
          <w:sz w:val="22"/>
          <w:szCs w:val="22"/>
        </w:rPr>
        <w:t>,</w:t>
      </w:r>
      <w:r w:rsidRPr="004F06F2">
        <w:rPr>
          <w:rFonts w:eastAsia="Calibri" w:cs="Times New Roman"/>
          <w:bCs/>
          <w:color w:val="000000"/>
          <w:sz w:val="22"/>
          <w:szCs w:val="22"/>
        </w:rPr>
        <w:t xml:space="preserve"> respectivamente.</w:t>
      </w:r>
      <w:bookmarkEnd w:id="2"/>
    </w:p>
    <w:p w14:paraId="7F0AF8DC" w14:textId="766F4F0D" w:rsidR="00B82D70" w:rsidRPr="004F06F2" w:rsidRDefault="00B82D70" w:rsidP="00CD477C">
      <w:pPr>
        <w:spacing w:before="0" w:after="0"/>
        <w:rPr>
          <w:rFonts w:eastAsia="Calibri" w:cs="Times New Roman"/>
          <w:bCs/>
          <w:color w:val="000000"/>
          <w:sz w:val="22"/>
          <w:szCs w:val="22"/>
        </w:rPr>
      </w:pPr>
    </w:p>
    <w:p w14:paraId="62FA1C8F" w14:textId="2C258AA5" w:rsidR="00B82D70" w:rsidRPr="004F06F2" w:rsidRDefault="00B82D70" w:rsidP="00CD477C">
      <w:pPr>
        <w:spacing w:before="0" w:after="0"/>
        <w:rPr>
          <w:rFonts w:eastAsia="Calibri" w:cs="Times New Roman"/>
          <w:bCs/>
          <w:color w:val="000000"/>
          <w:sz w:val="22"/>
          <w:szCs w:val="22"/>
        </w:rPr>
      </w:pPr>
      <w:r w:rsidRPr="004F06F2">
        <w:rPr>
          <w:rFonts w:eastAsia="Calibri" w:cs="Times New Roman"/>
          <w:bCs/>
          <w:color w:val="000000"/>
          <w:sz w:val="22"/>
          <w:szCs w:val="22"/>
        </w:rPr>
        <w:t xml:space="preserve">Algunas de las cifras, están sujetas al programa de depuración iniciado con motivo de la implementación de la armonización de la contabilidad en el Estado y de acuerdo </w:t>
      </w:r>
      <w:r w:rsidR="00485F96" w:rsidRPr="004F06F2">
        <w:rPr>
          <w:rFonts w:eastAsia="Calibri" w:cs="Times New Roman"/>
          <w:bCs/>
          <w:color w:val="000000"/>
          <w:sz w:val="22"/>
          <w:szCs w:val="22"/>
        </w:rPr>
        <w:t>con</w:t>
      </w:r>
      <w:r w:rsidRPr="004F06F2">
        <w:rPr>
          <w:rFonts w:eastAsia="Calibri" w:cs="Times New Roman"/>
          <w:bCs/>
          <w:color w:val="000000"/>
          <w:sz w:val="22"/>
          <w:szCs w:val="22"/>
        </w:rPr>
        <w:t xml:space="preserve"> lo establecido en la Ley General de Contabilidad Gubernamental.</w:t>
      </w:r>
    </w:p>
    <w:p w14:paraId="302697E8" w14:textId="24FBCDAB" w:rsidR="00B82D70" w:rsidRPr="004F06F2" w:rsidRDefault="00B82D70" w:rsidP="00CD477C">
      <w:pPr>
        <w:spacing w:before="0" w:after="0"/>
        <w:rPr>
          <w:rFonts w:eastAsia="Calibri" w:cs="Times New Roman"/>
          <w:bCs/>
          <w:color w:val="000000"/>
          <w:sz w:val="22"/>
          <w:szCs w:val="22"/>
        </w:rPr>
      </w:pPr>
    </w:p>
    <w:p w14:paraId="539E5FB8" w14:textId="6ACD5F6A" w:rsidR="00B82D70" w:rsidRPr="004F06F2" w:rsidRDefault="00B82D70" w:rsidP="00CD477C">
      <w:pPr>
        <w:spacing w:before="0" w:after="0"/>
        <w:rPr>
          <w:rFonts w:eastAsia="Calibri" w:cs="Times New Roman"/>
          <w:bCs/>
          <w:color w:val="000000"/>
          <w:sz w:val="22"/>
          <w:szCs w:val="22"/>
        </w:rPr>
      </w:pPr>
      <w:r w:rsidRPr="004F06F2">
        <w:rPr>
          <w:rFonts w:eastAsia="Calibri" w:cs="Times New Roman"/>
          <w:bCs/>
          <w:color w:val="000000"/>
          <w:sz w:val="22"/>
          <w:szCs w:val="22"/>
        </w:rPr>
        <w:t xml:space="preserve">De conformidad con la citada Ley, así como </w:t>
      </w:r>
      <w:r w:rsidR="00485F96" w:rsidRPr="004F06F2">
        <w:rPr>
          <w:rFonts w:eastAsia="Calibri" w:cs="Times New Roman"/>
          <w:bCs/>
          <w:color w:val="000000"/>
          <w:sz w:val="22"/>
          <w:szCs w:val="22"/>
        </w:rPr>
        <w:t xml:space="preserve">con </w:t>
      </w:r>
      <w:r w:rsidRPr="004F06F2">
        <w:rPr>
          <w:rFonts w:eastAsia="Calibri" w:cs="Times New Roman"/>
          <w:bCs/>
          <w:color w:val="000000"/>
          <w:sz w:val="22"/>
          <w:szCs w:val="22"/>
        </w:rPr>
        <w:t>la normativ</w:t>
      </w:r>
      <w:r w:rsidR="001C365F" w:rsidRPr="004F06F2">
        <w:rPr>
          <w:rFonts w:eastAsia="Calibri" w:cs="Times New Roman"/>
          <w:bCs/>
          <w:color w:val="000000"/>
          <w:sz w:val="22"/>
          <w:szCs w:val="22"/>
        </w:rPr>
        <w:t xml:space="preserve">a </w:t>
      </w:r>
      <w:r w:rsidRPr="004F06F2">
        <w:rPr>
          <w:rFonts w:eastAsia="Calibri" w:cs="Times New Roman"/>
          <w:bCs/>
          <w:color w:val="000000"/>
          <w:sz w:val="22"/>
          <w:szCs w:val="22"/>
        </w:rPr>
        <w:t>emitida por el Consejo Nacional de Armonización Contable, a continuación, se presentan las notas que acompañan a los estados financieros, a saber:</w:t>
      </w:r>
    </w:p>
    <w:p w14:paraId="7DCAF7C6" w14:textId="77777777" w:rsidR="00DE384C" w:rsidRPr="004F06F2" w:rsidRDefault="00DE384C" w:rsidP="00CD477C">
      <w:pPr>
        <w:spacing w:before="0" w:after="0"/>
        <w:rPr>
          <w:rFonts w:eastAsia="Calibri" w:cs="Times New Roman"/>
          <w:bCs/>
          <w:color w:val="000000"/>
          <w:sz w:val="22"/>
          <w:szCs w:val="22"/>
        </w:rPr>
      </w:pPr>
    </w:p>
    <w:p w14:paraId="26DDA75F" w14:textId="7F972A75" w:rsidR="00BD4F6A" w:rsidRPr="004F06F2" w:rsidRDefault="00BD4F6A" w:rsidP="00CD477C">
      <w:pPr>
        <w:numPr>
          <w:ilvl w:val="0"/>
          <w:numId w:val="3"/>
        </w:numPr>
        <w:spacing w:before="0" w:after="0"/>
        <w:ind w:left="709"/>
        <w:jc w:val="left"/>
        <w:rPr>
          <w:rFonts w:eastAsia="Times New Roman" w:cs="Times New Roman"/>
          <w:bCs/>
          <w:color w:val="000000"/>
          <w:sz w:val="22"/>
          <w:szCs w:val="22"/>
          <w:lang w:eastAsia="es-MX"/>
        </w:rPr>
      </w:pPr>
      <w:r w:rsidRPr="004F06F2">
        <w:rPr>
          <w:rFonts w:eastAsia="Times New Roman" w:cs="Times New Roman"/>
          <w:bCs/>
          <w:color w:val="000000"/>
          <w:sz w:val="22"/>
          <w:szCs w:val="22"/>
          <w:lang w:eastAsia="es-MX"/>
        </w:rPr>
        <w:t xml:space="preserve">Notas de gestión administrativa </w:t>
      </w:r>
    </w:p>
    <w:p w14:paraId="6E905047" w14:textId="04BFFCB7" w:rsidR="00B82D70" w:rsidRPr="004F06F2" w:rsidRDefault="00B82D70" w:rsidP="00CD477C">
      <w:pPr>
        <w:numPr>
          <w:ilvl w:val="0"/>
          <w:numId w:val="3"/>
        </w:numPr>
        <w:spacing w:before="0" w:after="0"/>
        <w:ind w:left="709"/>
        <w:jc w:val="left"/>
        <w:rPr>
          <w:rFonts w:eastAsia="Times New Roman" w:cs="Times New Roman"/>
          <w:bCs/>
          <w:color w:val="000000"/>
          <w:sz w:val="22"/>
          <w:szCs w:val="22"/>
          <w:lang w:eastAsia="es-MX"/>
        </w:rPr>
      </w:pPr>
      <w:r w:rsidRPr="004F06F2">
        <w:rPr>
          <w:rFonts w:eastAsia="Times New Roman" w:cs="Times New Roman"/>
          <w:bCs/>
          <w:color w:val="000000"/>
          <w:sz w:val="22"/>
          <w:szCs w:val="22"/>
          <w:lang w:eastAsia="es-MX"/>
        </w:rPr>
        <w:t>Notas de desglose</w:t>
      </w:r>
      <w:r w:rsidR="00BD4F6A" w:rsidRPr="004F06F2">
        <w:rPr>
          <w:rFonts w:eastAsia="Times New Roman" w:cs="Times New Roman"/>
          <w:bCs/>
          <w:color w:val="000000"/>
          <w:sz w:val="22"/>
          <w:szCs w:val="22"/>
          <w:lang w:eastAsia="es-MX"/>
        </w:rPr>
        <w:t>, y</w:t>
      </w:r>
    </w:p>
    <w:p w14:paraId="31649C9E" w14:textId="28220C23" w:rsidR="00B82D70" w:rsidRPr="004F06F2" w:rsidRDefault="00B82D70" w:rsidP="00CD477C">
      <w:pPr>
        <w:numPr>
          <w:ilvl w:val="0"/>
          <w:numId w:val="3"/>
        </w:numPr>
        <w:spacing w:before="0" w:after="0"/>
        <w:ind w:left="709"/>
        <w:jc w:val="left"/>
        <w:rPr>
          <w:rFonts w:eastAsia="Times New Roman" w:cs="Times New Roman"/>
          <w:bCs/>
          <w:color w:val="000000"/>
          <w:sz w:val="22"/>
          <w:szCs w:val="22"/>
          <w:lang w:eastAsia="es-MX"/>
        </w:rPr>
      </w:pPr>
      <w:r w:rsidRPr="004F06F2">
        <w:rPr>
          <w:rFonts w:eastAsia="Times New Roman" w:cs="Times New Roman"/>
          <w:bCs/>
          <w:color w:val="000000"/>
          <w:sz w:val="22"/>
          <w:szCs w:val="22"/>
          <w:lang w:eastAsia="es-MX"/>
        </w:rPr>
        <w:t>Notas de memoria.</w:t>
      </w:r>
    </w:p>
    <w:p w14:paraId="573BF512" w14:textId="5211BA38" w:rsidR="00B82D70" w:rsidRPr="004F06F2" w:rsidRDefault="00B82D70" w:rsidP="00B82D70">
      <w:pPr>
        <w:spacing w:before="0" w:after="0"/>
        <w:jc w:val="center"/>
        <w:rPr>
          <w:rFonts w:eastAsia="Calibri" w:cs="Times New Roman"/>
          <w:b/>
          <w:sz w:val="22"/>
          <w:szCs w:val="22"/>
        </w:rPr>
      </w:pPr>
    </w:p>
    <w:p w14:paraId="3235A25C" w14:textId="21BE03C8" w:rsidR="00B82D70" w:rsidRPr="004F06F2" w:rsidRDefault="00B82D70" w:rsidP="00B82D70">
      <w:pPr>
        <w:rPr>
          <w:rFonts w:eastAsia="Calibri" w:cs="Times New Roman"/>
          <w:b/>
        </w:rPr>
      </w:pPr>
      <w:r w:rsidRPr="004F06F2">
        <w:rPr>
          <w:rFonts w:eastAsia="Calibri" w:cs="Times New Roman"/>
          <w:b/>
        </w:rPr>
        <w:br w:type="page"/>
      </w:r>
    </w:p>
    <w:p w14:paraId="3ECDE942" w14:textId="77777777" w:rsidR="00BD4F6A" w:rsidRPr="004F06F2" w:rsidRDefault="00BD4F6A" w:rsidP="00BD4F6A">
      <w:pPr>
        <w:spacing w:before="0" w:after="0"/>
        <w:jc w:val="center"/>
        <w:rPr>
          <w:rFonts w:eastAsia="Calibri" w:cs="Times New Roman"/>
          <w:b/>
          <w:sz w:val="28"/>
          <w:szCs w:val="28"/>
        </w:rPr>
      </w:pPr>
      <w:r w:rsidRPr="004F06F2">
        <w:rPr>
          <w:rFonts w:eastAsia="Calibri" w:cs="Times New Roman"/>
          <w:b/>
          <w:sz w:val="28"/>
          <w:szCs w:val="28"/>
        </w:rPr>
        <w:lastRenderedPageBreak/>
        <w:t>C) NOTAS DE GESTIÓN ADMINISTRATIVA</w:t>
      </w:r>
    </w:p>
    <w:p w14:paraId="7C7A6822" w14:textId="77777777" w:rsidR="00BD4F6A" w:rsidRPr="004F06F2" w:rsidRDefault="00BD4F6A" w:rsidP="00BD4F6A">
      <w:pPr>
        <w:spacing w:before="0" w:after="0"/>
        <w:rPr>
          <w:rFonts w:ascii="GalanoGrotesque-ExtraLight" w:eastAsia="Calibri" w:hAnsi="GalanoGrotesque-ExtraLight" w:cs="Times New Roman"/>
          <w:b/>
          <w:sz w:val="22"/>
          <w:szCs w:val="22"/>
        </w:rPr>
      </w:pPr>
    </w:p>
    <w:p w14:paraId="7EF9D469" w14:textId="60EA9736" w:rsidR="00BD4F6A" w:rsidRPr="004F06F2" w:rsidRDefault="00BD4F6A" w:rsidP="00BD4F6A">
      <w:pPr>
        <w:spacing w:before="0" w:after="0"/>
        <w:rPr>
          <w:rFonts w:eastAsia="Calibri" w:cs="Times New Roman"/>
          <w:b/>
          <w:bCs/>
          <w:sz w:val="22"/>
          <w:szCs w:val="22"/>
        </w:rPr>
      </w:pPr>
      <w:r w:rsidRPr="004F06F2">
        <w:rPr>
          <w:rFonts w:eastAsia="Calibri" w:cs="Times New Roman"/>
          <w:b/>
          <w:bCs/>
          <w:sz w:val="22"/>
          <w:szCs w:val="22"/>
        </w:rPr>
        <w:t>Introducción</w:t>
      </w:r>
    </w:p>
    <w:p w14:paraId="5156CE48" w14:textId="77777777" w:rsidR="00BD4F6A" w:rsidRPr="004F06F2" w:rsidRDefault="00BD4F6A" w:rsidP="00BD4F6A">
      <w:pPr>
        <w:spacing w:before="0" w:after="0"/>
        <w:jc w:val="left"/>
        <w:rPr>
          <w:rFonts w:eastAsia="Calibri" w:cs="Times New Roman"/>
          <w:sz w:val="22"/>
          <w:szCs w:val="22"/>
        </w:rPr>
      </w:pPr>
    </w:p>
    <w:p w14:paraId="0A349007" w14:textId="77777777" w:rsidR="00BD4F6A" w:rsidRPr="004F06F2" w:rsidRDefault="00BD4F6A" w:rsidP="00BD4F6A">
      <w:pPr>
        <w:spacing w:after="0"/>
        <w:rPr>
          <w:rFonts w:eastAsia="Calibri" w:cs="Times New Roman"/>
        </w:rPr>
      </w:pPr>
      <w:r w:rsidRPr="004F06F2">
        <w:rPr>
          <w:rFonts w:eastAsia="Calibri" w:cs="Times New Roman"/>
          <w:sz w:val="22"/>
          <w:szCs w:val="22"/>
        </w:rPr>
        <w:t xml:space="preserve">Los Estados Financieros de los entes públicos, proveen de información financiera a los principales usuarios de la misma, entre ellos está el H. Congreso del Estado de Michoacán, así como la ciudadanía en general que demanda información sobre la situación contable del Poder Ejecutivo. </w:t>
      </w:r>
    </w:p>
    <w:p w14:paraId="1D86174A" w14:textId="77777777" w:rsidR="00BD4F6A" w:rsidRPr="004F06F2" w:rsidRDefault="00BD4F6A" w:rsidP="00BD4F6A">
      <w:pPr>
        <w:spacing w:after="0"/>
        <w:rPr>
          <w:rFonts w:eastAsia="Calibri" w:cs="Times New Roman"/>
          <w:sz w:val="22"/>
          <w:szCs w:val="22"/>
        </w:rPr>
      </w:pPr>
    </w:p>
    <w:p w14:paraId="3C3834F2" w14:textId="093F2F49" w:rsidR="00BD4F6A" w:rsidRPr="004F06F2" w:rsidRDefault="00BD4F6A" w:rsidP="00BD4F6A">
      <w:pPr>
        <w:spacing w:after="0"/>
        <w:rPr>
          <w:rFonts w:eastAsia="Calibri" w:cs="Times New Roman"/>
        </w:rPr>
      </w:pPr>
      <w:r w:rsidRPr="004F06F2">
        <w:rPr>
          <w:rFonts w:eastAsia="Calibri" w:cs="Times New Roman"/>
          <w:sz w:val="22"/>
          <w:szCs w:val="22"/>
        </w:rPr>
        <w:t xml:space="preserve">El objetivo del presente documento es la revelación del contexto y de los aspectos económicos financieros más relevantes que influyeron en las decisiones del período, que comprende del 1 de enero al </w:t>
      </w:r>
      <w:r w:rsidR="00053575" w:rsidRPr="004F06F2">
        <w:rPr>
          <w:rFonts w:eastAsia="Calibri" w:cs="Times New Roman"/>
          <w:sz w:val="22"/>
          <w:szCs w:val="22"/>
        </w:rPr>
        <w:t xml:space="preserve">31 de </w:t>
      </w:r>
      <w:r w:rsidR="00465334" w:rsidRPr="004F06F2">
        <w:rPr>
          <w:rFonts w:eastAsia="Calibri" w:cs="Times New Roman"/>
          <w:sz w:val="22"/>
          <w:szCs w:val="22"/>
        </w:rPr>
        <w:t>marzo</w:t>
      </w:r>
      <w:r w:rsidR="00856294" w:rsidRPr="004F06F2">
        <w:rPr>
          <w:rFonts w:eastAsia="Calibri" w:cs="Times New Roman"/>
          <w:sz w:val="22"/>
          <w:szCs w:val="22"/>
        </w:rPr>
        <w:t xml:space="preserve"> </w:t>
      </w:r>
      <w:r w:rsidR="00465334" w:rsidRPr="004F06F2">
        <w:rPr>
          <w:rFonts w:eastAsia="Calibri" w:cs="Times New Roman"/>
          <w:sz w:val="22"/>
          <w:szCs w:val="22"/>
        </w:rPr>
        <w:t>de</w:t>
      </w:r>
      <w:r w:rsidRPr="004F06F2">
        <w:rPr>
          <w:rFonts w:eastAsia="Calibri" w:cs="Times New Roman"/>
          <w:sz w:val="22"/>
          <w:szCs w:val="22"/>
        </w:rPr>
        <w:t xml:space="preserve"> 202</w:t>
      </w:r>
      <w:r w:rsidR="00465334" w:rsidRPr="004F06F2">
        <w:rPr>
          <w:rFonts w:eastAsia="Calibri" w:cs="Times New Roman"/>
          <w:sz w:val="22"/>
          <w:szCs w:val="22"/>
        </w:rPr>
        <w:t>4</w:t>
      </w:r>
      <w:r w:rsidRPr="004F06F2">
        <w:rPr>
          <w:rFonts w:eastAsia="Calibri" w:cs="Times New Roman"/>
          <w:sz w:val="22"/>
          <w:szCs w:val="22"/>
        </w:rPr>
        <w:t xml:space="preserve">, y que se consideraron en la elaboración de los Estados Financieros para la mayor comprensión de los mismos y sus particularidades. </w:t>
      </w:r>
    </w:p>
    <w:p w14:paraId="5353F131" w14:textId="77777777" w:rsidR="00BD4F6A" w:rsidRPr="004F06F2" w:rsidRDefault="00BD4F6A" w:rsidP="00BD4F6A">
      <w:pPr>
        <w:spacing w:after="0"/>
        <w:rPr>
          <w:rFonts w:eastAsia="Calibri" w:cs="Times New Roman"/>
          <w:sz w:val="22"/>
          <w:szCs w:val="22"/>
        </w:rPr>
      </w:pPr>
    </w:p>
    <w:p w14:paraId="5658D75D" w14:textId="77777777" w:rsidR="00BD4F6A" w:rsidRPr="004F06F2" w:rsidRDefault="00BD4F6A" w:rsidP="00BD4F6A">
      <w:pPr>
        <w:spacing w:after="0"/>
        <w:rPr>
          <w:rFonts w:eastAsia="Calibri" w:cs="Times New Roman"/>
        </w:rPr>
      </w:pPr>
      <w:r w:rsidRPr="004F06F2">
        <w:rPr>
          <w:rFonts w:eastAsia="Calibri" w:cs="Times New Roman"/>
          <w:sz w:val="22"/>
          <w:szCs w:val="22"/>
        </w:rPr>
        <w:t>De esta manera, se informa y explica la respuesta del gobierno a las condiciones relacionadas con la información financiera del período de gestión; además, de exponer aquellas políticas que podrían afectar la toma de decisiones en períodos posteriores.</w:t>
      </w:r>
    </w:p>
    <w:p w14:paraId="294B0093" w14:textId="77777777" w:rsidR="00BD4F6A" w:rsidRPr="004F06F2" w:rsidRDefault="00BD4F6A" w:rsidP="00BD4F6A">
      <w:pPr>
        <w:spacing w:before="0" w:after="0"/>
        <w:jc w:val="left"/>
        <w:rPr>
          <w:rFonts w:eastAsia="Calibri" w:cs="Times New Roman"/>
          <w:sz w:val="22"/>
          <w:szCs w:val="22"/>
        </w:rPr>
      </w:pPr>
    </w:p>
    <w:p w14:paraId="3D61CF8F" w14:textId="77777777" w:rsidR="00BD4F6A" w:rsidRPr="004F06F2" w:rsidRDefault="00BD4F6A" w:rsidP="00BD4F6A">
      <w:pPr>
        <w:spacing w:before="0" w:after="0"/>
        <w:rPr>
          <w:rFonts w:eastAsia="Calibri" w:cs="Times New Roman"/>
          <w:sz w:val="22"/>
          <w:szCs w:val="22"/>
        </w:rPr>
      </w:pPr>
      <w:r w:rsidRPr="004F06F2">
        <w:rPr>
          <w:rFonts w:eastAsia="Calibri" w:cs="Times New Roman"/>
          <w:sz w:val="22"/>
          <w:szCs w:val="22"/>
        </w:rPr>
        <w:t xml:space="preserve">Los Estados Financieros del Poder Ejecutivo, se integran con la información que resulta de las operaciones derivadas de la recaudación de ingresos presupuestarios, del ejercicio del gasto público, la colocación y amortización de la deuda pública - incluyendo los gastos por los intereses y comisiones correspondientes-, el manejo y custodia de los recursos propiedad del Poder Ejecutivo o a su cuidado, así como todas aquellas operaciones contables que modifiquen el Patrimonio, considerando en su registro contable las características administrativas descentralizadas. </w:t>
      </w:r>
    </w:p>
    <w:p w14:paraId="6C6477B7" w14:textId="77777777" w:rsidR="00BD4F6A" w:rsidRPr="004F06F2" w:rsidRDefault="00BD4F6A" w:rsidP="00BD4F6A">
      <w:pPr>
        <w:spacing w:before="0" w:after="0"/>
        <w:rPr>
          <w:rFonts w:eastAsia="Calibri" w:cs="Times New Roman"/>
          <w:sz w:val="22"/>
          <w:szCs w:val="22"/>
        </w:rPr>
      </w:pPr>
    </w:p>
    <w:p w14:paraId="65518E5B" w14:textId="2E281B1B" w:rsidR="00BD4F6A" w:rsidRPr="004F06F2" w:rsidRDefault="00BD4F6A" w:rsidP="00BD4F6A">
      <w:pPr>
        <w:spacing w:before="0" w:after="0"/>
        <w:rPr>
          <w:rFonts w:eastAsia="Calibri" w:cs="Times New Roman"/>
          <w:sz w:val="22"/>
          <w:szCs w:val="22"/>
        </w:rPr>
      </w:pPr>
      <w:r w:rsidRPr="004F06F2">
        <w:rPr>
          <w:rFonts w:eastAsia="Calibri" w:cs="Times New Roman"/>
          <w:sz w:val="22"/>
          <w:szCs w:val="22"/>
        </w:rPr>
        <w:t>En este contexto, en la normativa aplicable se establecen registros que permiten identificar la interrelación de las operaciones.</w:t>
      </w:r>
    </w:p>
    <w:p w14:paraId="673824B1" w14:textId="5A1C9EAC" w:rsidR="00F60726" w:rsidRPr="004F06F2" w:rsidRDefault="00F60726" w:rsidP="00BD4F6A">
      <w:pPr>
        <w:spacing w:before="0" w:after="0"/>
        <w:rPr>
          <w:rFonts w:eastAsia="Calibri" w:cs="Times New Roman"/>
          <w:sz w:val="22"/>
          <w:szCs w:val="22"/>
        </w:rPr>
      </w:pPr>
    </w:p>
    <w:p w14:paraId="6FE4916F" w14:textId="77777777" w:rsidR="00F60726" w:rsidRPr="004F06F2" w:rsidRDefault="00F60726" w:rsidP="00BD4F6A">
      <w:pPr>
        <w:spacing w:before="0" w:after="0"/>
        <w:rPr>
          <w:rFonts w:eastAsia="Calibri" w:cs="Times New Roman"/>
          <w:sz w:val="22"/>
          <w:szCs w:val="22"/>
        </w:rPr>
      </w:pPr>
    </w:p>
    <w:p w14:paraId="53A49913" w14:textId="6C914591" w:rsidR="00367FCA" w:rsidRPr="004F06F2" w:rsidRDefault="00367FCA" w:rsidP="00BD4F6A">
      <w:pPr>
        <w:spacing w:before="0" w:after="0"/>
        <w:rPr>
          <w:rFonts w:eastAsia="Calibri" w:cs="Times New Roman"/>
          <w:sz w:val="22"/>
          <w:szCs w:val="22"/>
        </w:rPr>
      </w:pPr>
    </w:p>
    <w:p w14:paraId="14A5284D" w14:textId="2A04E82D" w:rsidR="00367FCA" w:rsidRPr="004F06F2" w:rsidRDefault="00367FCA" w:rsidP="00367FCA">
      <w:pPr>
        <w:spacing w:before="0" w:after="0"/>
        <w:rPr>
          <w:rFonts w:eastAsia="Calibri" w:cs="Times New Roman"/>
          <w:b/>
          <w:sz w:val="22"/>
          <w:szCs w:val="22"/>
        </w:rPr>
      </w:pPr>
      <w:r w:rsidRPr="004F06F2">
        <w:rPr>
          <w:rFonts w:eastAsia="Calibri" w:cs="Times New Roman"/>
          <w:b/>
          <w:sz w:val="22"/>
          <w:szCs w:val="22"/>
        </w:rPr>
        <w:lastRenderedPageBreak/>
        <w:t>1.</w:t>
      </w:r>
      <w:r w:rsidRPr="004F06F2">
        <w:rPr>
          <w:rFonts w:eastAsia="Calibri" w:cs="Times New Roman"/>
          <w:b/>
          <w:sz w:val="22"/>
          <w:szCs w:val="22"/>
        </w:rPr>
        <w:tab/>
        <w:t>Autorización e Historia</w:t>
      </w:r>
    </w:p>
    <w:p w14:paraId="1F07DC4E" w14:textId="194BC571" w:rsidR="00367FCA" w:rsidRPr="004F06F2" w:rsidRDefault="00367FCA" w:rsidP="00367FCA">
      <w:pPr>
        <w:spacing w:before="0" w:after="0"/>
        <w:rPr>
          <w:rFonts w:eastAsia="Calibri" w:cs="Times New Roman"/>
          <w:b/>
          <w:sz w:val="22"/>
          <w:szCs w:val="22"/>
        </w:rPr>
      </w:pPr>
      <w:r w:rsidRPr="004F06F2">
        <w:rPr>
          <w:rFonts w:eastAsia="Calibri" w:cs="Times New Roman"/>
          <w:b/>
          <w:sz w:val="22"/>
          <w:szCs w:val="22"/>
        </w:rPr>
        <w:t>a) Fecha de creación:</w:t>
      </w:r>
    </w:p>
    <w:p w14:paraId="0B9B5702" w14:textId="204EE274" w:rsidR="00367FCA" w:rsidRPr="004F06F2" w:rsidRDefault="00367FCA" w:rsidP="00367FCA">
      <w:pPr>
        <w:rPr>
          <w:sz w:val="22"/>
          <w:szCs w:val="22"/>
        </w:rPr>
      </w:pPr>
      <w:r w:rsidRPr="004F06F2">
        <w:rPr>
          <w:sz w:val="22"/>
          <w:szCs w:val="22"/>
        </w:rPr>
        <w:t xml:space="preserve">Se creó el Estado Libre y Soberano de Michoacán, al expedirse el Acta Constitutiva de la Federación Mexicana, el 31 de enero de 1824, por decreto de la Cámara Constituyente de la Nación. El 6 de abril del mismo año, se instaló el Congreso Local Constituyente El </w:t>
      </w:r>
      <w:r w:rsidR="00FD704C" w:rsidRPr="004F06F2">
        <w:rPr>
          <w:sz w:val="22"/>
          <w:szCs w:val="22"/>
        </w:rPr>
        <w:t>E</w:t>
      </w:r>
      <w:r w:rsidRPr="004F06F2">
        <w:rPr>
          <w:sz w:val="22"/>
          <w:szCs w:val="22"/>
        </w:rPr>
        <w:t xml:space="preserve">stado fue dividido en 4 departamentos y 22 partidos, por decreto de la Ley Territorial de 1825, y el 19 de julio, se contó con su primera Constitución </w:t>
      </w:r>
      <w:r w:rsidR="00FD704C" w:rsidRPr="004F06F2">
        <w:rPr>
          <w:sz w:val="22"/>
          <w:szCs w:val="22"/>
        </w:rPr>
        <w:t>P</w:t>
      </w:r>
      <w:r w:rsidRPr="004F06F2">
        <w:rPr>
          <w:sz w:val="22"/>
          <w:szCs w:val="22"/>
        </w:rPr>
        <w:t>olítica.</w:t>
      </w:r>
    </w:p>
    <w:p w14:paraId="0859D9E3" w14:textId="77777777" w:rsidR="003A401A" w:rsidRPr="004F06F2" w:rsidRDefault="003A401A" w:rsidP="00367FCA">
      <w:pPr>
        <w:spacing w:before="0" w:after="0"/>
        <w:rPr>
          <w:sz w:val="22"/>
          <w:szCs w:val="22"/>
        </w:rPr>
      </w:pPr>
    </w:p>
    <w:p w14:paraId="3F49CB90" w14:textId="77777777" w:rsidR="0065334C" w:rsidRPr="004F06F2" w:rsidRDefault="0065334C" w:rsidP="0065334C">
      <w:pPr>
        <w:spacing w:before="0" w:after="0"/>
        <w:rPr>
          <w:sz w:val="22"/>
          <w:szCs w:val="22"/>
        </w:rPr>
      </w:pPr>
      <w:r w:rsidRPr="004F06F2">
        <w:rPr>
          <w:sz w:val="22"/>
          <w:szCs w:val="22"/>
        </w:rPr>
        <w:t>El día 08 de octubre de 2021 se publica en el Periódico Oficial del Estado la Ley Orgánica de la Administración Pública del Estado de Michoacán de Ocampo.</w:t>
      </w:r>
    </w:p>
    <w:p w14:paraId="2B9E5E21" w14:textId="77777777" w:rsidR="00367FCA" w:rsidRPr="004F06F2" w:rsidRDefault="00367FCA" w:rsidP="00367FCA">
      <w:pPr>
        <w:spacing w:before="0" w:after="0"/>
        <w:rPr>
          <w:sz w:val="22"/>
          <w:szCs w:val="22"/>
        </w:rPr>
      </w:pPr>
    </w:p>
    <w:p w14:paraId="758DEAEE" w14:textId="69199006" w:rsidR="00367FCA" w:rsidRPr="004F06F2" w:rsidRDefault="00367FCA" w:rsidP="00367FCA">
      <w:pPr>
        <w:spacing w:before="0" w:after="0"/>
        <w:rPr>
          <w:sz w:val="22"/>
          <w:szCs w:val="22"/>
        </w:rPr>
      </w:pPr>
      <w:r w:rsidRPr="004F06F2">
        <w:rPr>
          <w:sz w:val="22"/>
          <w:szCs w:val="22"/>
        </w:rPr>
        <w:t xml:space="preserve">Actualmente, el </w:t>
      </w:r>
      <w:r w:rsidR="00FD704C" w:rsidRPr="004F06F2">
        <w:rPr>
          <w:sz w:val="22"/>
          <w:szCs w:val="22"/>
        </w:rPr>
        <w:t>E</w:t>
      </w:r>
      <w:r w:rsidRPr="004F06F2">
        <w:rPr>
          <w:sz w:val="22"/>
          <w:szCs w:val="22"/>
        </w:rPr>
        <w:t xml:space="preserve">stado comprende 113 </w:t>
      </w:r>
      <w:r w:rsidR="00FD704C" w:rsidRPr="004F06F2">
        <w:rPr>
          <w:sz w:val="22"/>
          <w:szCs w:val="22"/>
        </w:rPr>
        <w:t>M</w:t>
      </w:r>
      <w:r w:rsidRPr="004F06F2">
        <w:rPr>
          <w:sz w:val="22"/>
          <w:szCs w:val="22"/>
        </w:rPr>
        <w:t>unicipios, con autonomía en cuanto a su gobierno interno.</w:t>
      </w:r>
    </w:p>
    <w:p w14:paraId="607AAF95" w14:textId="77777777" w:rsidR="00367FCA" w:rsidRPr="004F06F2" w:rsidRDefault="00367FCA" w:rsidP="00367FCA">
      <w:pPr>
        <w:spacing w:before="0" w:after="0"/>
        <w:rPr>
          <w:sz w:val="22"/>
          <w:szCs w:val="22"/>
        </w:rPr>
      </w:pPr>
    </w:p>
    <w:p w14:paraId="5DAEE289" w14:textId="77777777" w:rsidR="00367FCA" w:rsidRPr="004F06F2" w:rsidRDefault="00367FCA" w:rsidP="00367FCA">
      <w:pPr>
        <w:spacing w:before="0" w:after="0"/>
        <w:rPr>
          <w:sz w:val="22"/>
          <w:szCs w:val="22"/>
        </w:rPr>
      </w:pPr>
      <w:r w:rsidRPr="004F06F2">
        <w:rPr>
          <w:sz w:val="22"/>
          <w:szCs w:val="22"/>
        </w:rPr>
        <w:t>El despacho de los asuntos que competen al Gobernador del Estado, se realiza a través de las dependencias y entidades de la Administración Pública Estatal, conforme a la Constitución Política del Estado Libre y Soberano de Michoacán de Ocampo y las leyes que de ella emanen, de acuerdo con el Presupuesto de Egresos del Estado.</w:t>
      </w:r>
    </w:p>
    <w:p w14:paraId="193581D5" w14:textId="77777777" w:rsidR="00367FCA" w:rsidRPr="004F06F2" w:rsidRDefault="00367FCA" w:rsidP="00367FCA">
      <w:pPr>
        <w:spacing w:before="0" w:after="0"/>
        <w:rPr>
          <w:sz w:val="22"/>
          <w:szCs w:val="22"/>
        </w:rPr>
      </w:pPr>
    </w:p>
    <w:p w14:paraId="601C867A" w14:textId="77777777" w:rsidR="00367FCA" w:rsidRPr="004F06F2" w:rsidRDefault="00367FCA" w:rsidP="00367FCA">
      <w:pPr>
        <w:spacing w:before="0" w:after="0"/>
        <w:rPr>
          <w:rFonts w:eastAsia="Calibri" w:cs="Times New Roman"/>
          <w:b/>
          <w:sz w:val="22"/>
          <w:szCs w:val="22"/>
        </w:rPr>
      </w:pPr>
      <w:r w:rsidRPr="004F06F2">
        <w:rPr>
          <w:rFonts w:eastAsia="Calibri" w:cs="Times New Roman"/>
          <w:b/>
          <w:sz w:val="22"/>
          <w:szCs w:val="22"/>
        </w:rPr>
        <w:t>b) Principales cambios en su estructura:</w:t>
      </w:r>
    </w:p>
    <w:p w14:paraId="2C53A2C1" w14:textId="77777777" w:rsidR="00367FCA" w:rsidRPr="004F06F2" w:rsidRDefault="00367FCA" w:rsidP="00367FCA">
      <w:pPr>
        <w:spacing w:before="0" w:after="0"/>
        <w:rPr>
          <w:rFonts w:eastAsia="Calibri" w:cs="Times New Roman"/>
          <w:sz w:val="22"/>
          <w:szCs w:val="22"/>
        </w:rPr>
      </w:pPr>
    </w:p>
    <w:p w14:paraId="1F979B4F" w14:textId="235CC5CC" w:rsidR="00367FCA" w:rsidRPr="004F06F2" w:rsidRDefault="00367FCA" w:rsidP="00367FCA">
      <w:pPr>
        <w:spacing w:before="0" w:after="0"/>
        <w:rPr>
          <w:rFonts w:eastAsia="Calibri" w:cs="Times New Roman"/>
          <w:sz w:val="22"/>
          <w:szCs w:val="22"/>
        </w:rPr>
      </w:pPr>
      <w:r w:rsidRPr="004F06F2">
        <w:rPr>
          <w:rFonts w:eastAsia="Calibri" w:cs="Times New Roman"/>
          <w:sz w:val="22"/>
          <w:szCs w:val="22"/>
        </w:rPr>
        <w:t xml:space="preserve">Con fecha </w:t>
      </w:r>
      <w:r w:rsidR="001479C0" w:rsidRPr="004F06F2">
        <w:rPr>
          <w:rFonts w:eastAsia="Calibri" w:cs="Times New Roman"/>
          <w:sz w:val="22"/>
          <w:szCs w:val="22"/>
        </w:rPr>
        <w:t>25</w:t>
      </w:r>
      <w:r w:rsidR="00DD5D23" w:rsidRPr="004F06F2">
        <w:rPr>
          <w:rFonts w:eastAsia="Calibri" w:cs="Times New Roman"/>
          <w:sz w:val="22"/>
          <w:szCs w:val="22"/>
        </w:rPr>
        <w:t xml:space="preserve"> de </w:t>
      </w:r>
      <w:r w:rsidR="001479C0" w:rsidRPr="004F06F2">
        <w:rPr>
          <w:rFonts w:eastAsia="Calibri" w:cs="Times New Roman"/>
          <w:sz w:val="22"/>
          <w:szCs w:val="22"/>
        </w:rPr>
        <w:t>septiembre</w:t>
      </w:r>
      <w:r w:rsidR="00DD5D23" w:rsidRPr="004F06F2">
        <w:rPr>
          <w:rFonts w:eastAsia="Calibri" w:cs="Times New Roman"/>
          <w:sz w:val="22"/>
          <w:szCs w:val="22"/>
        </w:rPr>
        <w:t xml:space="preserve"> de 202</w:t>
      </w:r>
      <w:r w:rsidR="001479C0" w:rsidRPr="004F06F2">
        <w:rPr>
          <w:rFonts w:eastAsia="Calibri" w:cs="Times New Roman"/>
          <w:sz w:val="22"/>
          <w:szCs w:val="22"/>
        </w:rPr>
        <w:t>3</w:t>
      </w:r>
      <w:r w:rsidRPr="004F06F2">
        <w:rPr>
          <w:rFonts w:eastAsia="Calibri" w:cs="Times New Roman"/>
          <w:sz w:val="22"/>
          <w:szCs w:val="22"/>
        </w:rPr>
        <w:t>, se publicó la última reforma a la Ley Orgánica de la Administración Pública del Estado de Michoacán de Ocampo en la cual, se realizaron cambios sustanciales a las dependencias del Ejecutivo Estatal, atendiendo a criterios de austeridad y eficiencia en el gasto público.</w:t>
      </w:r>
    </w:p>
    <w:p w14:paraId="162DED55" w14:textId="77777777" w:rsidR="00367FCA" w:rsidRPr="004F06F2" w:rsidRDefault="00367FCA" w:rsidP="00367FCA">
      <w:pPr>
        <w:spacing w:before="0" w:after="0"/>
        <w:rPr>
          <w:rFonts w:eastAsia="Calibri" w:cs="Times New Roman"/>
          <w:sz w:val="22"/>
          <w:szCs w:val="22"/>
        </w:rPr>
      </w:pPr>
    </w:p>
    <w:p w14:paraId="7AF6A23A" w14:textId="3904DC84" w:rsidR="00367FCA" w:rsidRPr="004F06F2" w:rsidRDefault="00367FCA" w:rsidP="00367FCA">
      <w:pPr>
        <w:spacing w:before="0" w:after="0"/>
        <w:rPr>
          <w:rFonts w:eastAsia="Calibri" w:cs="Times New Roman"/>
          <w:sz w:val="22"/>
          <w:szCs w:val="22"/>
        </w:rPr>
      </w:pPr>
      <w:r w:rsidRPr="004F06F2">
        <w:rPr>
          <w:rFonts w:eastAsia="Calibri" w:cs="Times New Roman"/>
          <w:sz w:val="22"/>
          <w:szCs w:val="22"/>
        </w:rPr>
        <w:t xml:space="preserve">El 15 de febrero de 2022, se publicó el Reglamento Interior de la Secretaría de Finanzas y Administración, en </w:t>
      </w:r>
      <w:r w:rsidR="00DF6204">
        <w:rPr>
          <w:rFonts w:eastAsia="Calibri" w:cs="Times New Roman"/>
          <w:sz w:val="22"/>
          <w:szCs w:val="22"/>
        </w:rPr>
        <w:t xml:space="preserve">el </w:t>
      </w:r>
      <w:r w:rsidRPr="004F06F2">
        <w:rPr>
          <w:rFonts w:eastAsia="Calibri" w:cs="Times New Roman"/>
          <w:sz w:val="22"/>
          <w:szCs w:val="22"/>
        </w:rPr>
        <w:t>cual se otorgan y especifican las facultades para la aprobación de los estados financieros y la integración de los informes de avance trimestral y cuenta pública anual de cada ejercicio fiscal.</w:t>
      </w:r>
      <w:r w:rsidR="006A12D0" w:rsidRPr="004F06F2">
        <w:rPr>
          <w:rFonts w:eastAsia="Calibri" w:cs="Times New Roman"/>
          <w:sz w:val="22"/>
          <w:szCs w:val="22"/>
        </w:rPr>
        <w:t xml:space="preserve"> El 12 de diciembre de 2022, se realizaron modificaciones a dicho </w:t>
      </w:r>
      <w:r w:rsidR="006A12D0" w:rsidRPr="004F06F2">
        <w:rPr>
          <w:rFonts w:eastAsia="Calibri" w:cs="Times New Roman"/>
          <w:sz w:val="22"/>
          <w:szCs w:val="22"/>
        </w:rPr>
        <w:lastRenderedPageBreak/>
        <w:t>reglamento, con cambios sustanciales en materia de recaudación</w:t>
      </w:r>
      <w:r w:rsidR="00843B8D" w:rsidRPr="004F06F2">
        <w:rPr>
          <w:rFonts w:eastAsia="Calibri" w:cs="Times New Roman"/>
          <w:sz w:val="22"/>
          <w:szCs w:val="22"/>
        </w:rPr>
        <w:t>, así como la emisión, en la misma fecha, del Manual de Organización de la S</w:t>
      </w:r>
      <w:r w:rsidR="00EC54D6" w:rsidRPr="004F06F2">
        <w:rPr>
          <w:rFonts w:eastAsia="Calibri" w:cs="Times New Roman"/>
          <w:sz w:val="22"/>
          <w:szCs w:val="22"/>
        </w:rPr>
        <w:t xml:space="preserve">ecretaría de </w:t>
      </w:r>
      <w:r w:rsidR="00843B8D" w:rsidRPr="004F06F2">
        <w:rPr>
          <w:rFonts w:eastAsia="Calibri" w:cs="Times New Roman"/>
          <w:sz w:val="22"/>
          <w:szCs w:val="22"/>
        </w:rPr>
        <w:t>F</w:t>
      </w:r>
      <w:r w:rsidR="00EC54D6" w:rsidRPr="004F06F2">
        <w:rPr>
          <w:rFonts w:eastAsia="Calibri" w:cs="Times New Roman"/>
          <w:sz w:val="22"/>
          <w:szCs w:val="22"/>
        </w:rPr>
        <w:t xml:space="preserve">inanzas y </w:t>
      </w:r>
      <w:r w:rsidR="00843B8D" w:rsidRPr="004F06F2">
        <w:rPr>
          <w:rFonts w:eastAsia="Calibri" w:cs="Times New Roman"/>
          <w:sz w:val="22"/>
          <w:szCs w:val="22"/>
        </w:rPr>
        <w:t>A</w:t>
      </w:r>
      <w:r w:rsidR="00EC54D6" w:rsidRPr="004F06F2">
        <w:rPr>
          <w:rFonts w:eastAsia="Calibri" w:cs="Times New Roman"/>
          <w:sz w:val="22"/>
          <w:szCs w:val="22"/>
        </w:rPr>
        <w:t>dministración</w:t>
      </w:r>
      <w:r w:rsidR="006A12D0" w:rsidRPr="004F06F2">
        <w:rPr>
          <w:rFonts w:eastAsia="Calibri" w:cs="Times New Roman"/>
          <w:sz w:val="22"/>
          <w:szCs w:val="22"/>
        </w:rPr>
        <w:t>.</w:t>
      </w:r>
      <w:r w:rsidR="00D95B0E" w:rsidRPr="004F06F2">
        <w:rPr>
          <w:rFonts w:eastAsia="Calibri" w:cs="Times New Roman"/>
          <w:sz w:val="22"/>
          <w:szCs w:val="22"/>
        </w:rPr>
        <w:t xml:space="preserve"> La última reforma fue el 29 de diciembre de 2023 donde se realizaron cambios en la organización de la Secretaría de Finanzas y Administración </w:t>
      </w:r>
      <w:r w:rsidR="00492C46" w:rsidRPr="004F06F2">
        <w:rPr>
          <w:rFonts w:eastAsia="Calibri" w:cs="Times New Roman"/>
          <w:sz w:val="22"/>
          <w:szCs w:val="22"/>
        </w:rPr>
        <w:t xml:space="preserve">en el Artículo 15 fracción I Subsecretaría de </w:t>
      </w:r>
      <w:r w:rsidR="0033603F">
        <w:rPr>
          <w:rFonts w:eastAsia="Calibri" w:cs="Times New Roman"/>
          <w:sz w:val="22"/>
          <w:szCs w:val="22"/>
        </w:rPr>
        <w:t>I</w:t>
      </w:r>
      <w:r w:rsidR="0033603F" w:rsidRPr="004F06F2">
        <w:rPr>
          <w:rFonts w:eastAsia="Calibri" w:cs="Times New Roman"/>
          <w:sz w:val="22"/>
          <w:szCs w:val="22"/>
        </w:rPr>
        <w:t xml:space="preserve">ngresos </w:t>
      </w:r>
      <w:r w:rsidR="00492C46" w:rsidRPr="004F06F2">
        <w:rPr>
          <w:rFonts w:eastAsia="Calibri" w:cs="Times New Roman"/>
          <w:sz w:val="22"/>
          <w:szCs w:val="22"/>
        </w:rPr>
        <w:t>queda derogada, la fracción II cambia a Subsecretaría de Finanzas a la que quedan adscritas las siguientes Direcciones: Programación y Presupuesto, Seguimiento a la Inversión Pública, Operación de Fondos y Valores, Operación Financiera, Contabilidad Gubernamental, Fideicomisos y Coordinación Fiscal.</w:t>
      </w:r>
    </w:p>
    <w:p w14:paraId="683B7F11" w14:textId="0A33C04D" w:rsidR="00492C46" w:rsidRPr="004F06F2" w:rsidRDefault="00492C46" w:rsidP="00367FCA">
      <w:pPr>
        <w:spacing w:before="0" w:after="0"/>
        <w:rPr>
          <w:rFonts w:eastAsia="Calibri" w:cs="Times New Roman"/>
          <w:sz w:val="22"/>
          <w:szCs w:val="22"/>
        </w:rPr>
      </w:pPr>
      <w:r w:rsidRPr="004F06F2">
        <w:rPr>
          <w:sz w:val="22"/>
          <w:szCs w:val="22"/>
        </w:rPr>
        <w:t>El Instituto Registral y Catastral del Estado de Michoacán de Ocampo; la Unidad de Inteligencia Patrimonial y Económica; así como el Servicio de Administración Tributaria del Estado de Michoacán de Ocampo, como órganos desconcentrados, se ubican en el ámbito orgánico de la Secretaría.</w:t>
      </w:r>
    </w:p>
    <w:p w14:paraId="691F59C7" w14:textId="72C42399" w:rsidR="00843B8D" w:rsidRPr="004F06F2" w:rsidRDefault="00843B8D" w:rsidP="00367FCA">
      <w:pPr>
        <w:spacing w:before="0" w:after="0"/>
        <w:rPr>
          <w:rFonts w:eastAsia="Calibri" w:cs="Times New Roman"/>
          <w:sz w:val="22"/>
          <w:szCs w:val="22"/>
        </w:rPr>
      </w:pPr>
    </w:p>
    <w:p w14:paraId="1C26B973" w14:textId="4EAF49F2" w:rsidR="00367FCA" w:rsidRPr="004F06F2" w:rsidRDefault="00087647" w:rsidP="00BD4F6A">
      <w:pPr>
        <w:spacing w:before="0" w:after="0"/>
        <w:rPr>
          <w:rFonts w:eastAsia="Calibri" w:cs="Times New Roman"/>
          <w:sz w:val="22"/>
          <w:szCs w:val="22"/>
        </w:rPr>
      </w:pPr>
      <w:r w:rsidRPr="004F06F2">
        <w:rPr>
          <w:rFonts w:eastAsia="Calibri" w:cs="Times New Roman"/>
          <w:sz w:val="22"/>
          <w:szCs w:val="22"/>
        </w:rPr>
        <w:t xml:space="preserve">El 3 de </w:t>
      </w:r>
      <w:r w:rsidR="00D00A2E" w:rsidRPr="004F06F2">
        <w:rPr>
          <w:rFonts w:eastAsia="Calibri" w:cs="Times New Roman"/>
          <w:sz w:val="22"/>
          <w:szCs w:val="22"/>
        </w:rPr>
        <w:t>noviembre</w:t>
      </w:r>
      <w:r w:rsidRPr="004F06F2">
        <w:rPr>
          <w:rFonts w:eastAsia="Calibri" w:cs="Times New Roman"/>
          <w:sz w:val="22"/>
          <w:szCs w:val="22"/>
        </w:rPr>
        <w:t xml:space="preserve"> de 2023 se publicó el </w:t>
      </w:r>
      <w:bookmarkStart w:id="3" w:name="_Hlk166238001"/>
      <w:r w:rsidRPr="004F06F2">
        <w:rPr>
          <w:rFonts w:eastAsia="Calibri" w:cs="Times New Roman"/>
          <w:sz w:val="22"/>
          <w:szCs w:val="22"/>
        </w:rPr>
        <w:t>Manual de Normas y Lineamientos para el Ejercicio y Control del Presupuesto de Egresos del Estado de Michoacán de Ocampo</w:t>
      </w:r>
      <w:bookmarkEnd w:id="3"/>
      <w:r w:rsidRPr="004F06F2">
        <w:rPr>
          <w:rFonts w:eastAsia="Calibri" w:cs="Times New Roman"/>
          <w:sz w:val="22"/>
          <w:szCs w:val="22"/>
        </w:rPr>
        <w:t>, que incluye en sus lineamientos al Documento de Ejecución Presupuestaria y Pago Digital.</w:t>
      </w:r>
    </w:p>
    <w:p w14:paraId="6F84B4AE" w14:textId="77777777" w:rsidR="00212B26" w:rsidRPr="004F06F2" w:rsidRDefault="00212B26" w:rsidP="00BD4F6A">
      <w:pPr>
        <w:spacing w:before="0" w:after="0"/>
        <w:rPr>
          <w:rFonts w:eastAsia="Calibri" w:cs="Times New Roman"/>
          <w:sz w:val="22"/>
          <w:szCs w:val="22"/>
        </w:rPr>
      </w:pPr>
    </w:p>
    <w:p w14:paraId="04CF2209" w14:textId="77777777" w:rsidR="00BD4F6A" w:rsidRPr="004F06F2" w:rsidRDefault="00BD4F6A" w:rsidP="00BD4F6A">
      <w:pPr>
        <w:spacing w:before="0" w:after="0"/>
        <w:rPr>
          <w:rFonts w:eastAsia="Calibri" w:cs="Times New Roman"/>
          <w:sz w:val="22"/>
          <w:szCs w:val="22"/>
        </w:rPr>
      </w:pPr>
    </w:p>
    <w:p w14:paraId="1959791B" w14:textId="77777777" w:rsidR="00BD4F6A" w:rsidRPr="004F06F2" w:rsidRDefault="00BD4F6A" w:rsidP="00BD4F6A">
      <w:pPr>
        <w:spacing w:before="0" w:after="0"/>
        <w:rPr>
          <w:rFonts w:eastAsia="Calibri" w:cs="Times New Roman"/>
          <w:sz w:val="22"/>
          <w:szCs w:val="22"/>
        </w:rPr>
      </w:pPr>
      <w:r w:rsidRPr="004F06F2">
        <w:rPr>
          <w:rFonts w:eastAsia="Calibri" w:cs="Times New Roman"/>
          <w:sz w:val="22"/>
          <w:szCs w:val="22"/>
        </w:rPr>
        <w:t>2.- Panorama económico y financiero</w:t>
      </w:r>
    </w:p>
    <w:p w14:paraId="6ECD490D" w14:textId="06C0AA61" w:rsidR="007E6B6D" w:rsidRPr="004F06F2" w:rsidRDefault="007E6B6D" w:rsidP="007C0EB4">
      <w:pPr>
        <w:spacing w:before="0" w:after="0"/>
        <w:rPr>
          <w:rFonts w:eastAsia="Calibri" w:cs="Times New Roman"/>
          <w:sz w:val="22"/>
          <w:szCs w:val="22"/>
        </w:rPr>
      </w:pPr>
    </w:p>
    <w:p w14:paraId="5131023F" w14:textId="422A8DD0" w:rsidR="00CC38A4" w:rsidRPr="004F06F2" w:rsidRDefault="0055109B" w:rsidP="007C0EB4">
      <w:pPr>
        <w:spacing w:before="0" w:after="0"/>
        <w:rPr>
          <w:sz w:val="22"/>
          <w:szCs w:val="22"/>
        </w:rPr>
      </w:pPr>
      <w:r w:rsidRPr="004F06F2">
        <w:rPr>
          <w:rFonts w:eastAsia="Calibri" w:cs="Times New Roman"/>
          <w:sz w:val="22"/>
          <w:szCs w:val="22"/>
        </w:rPr>
        <w:t xml:space="preserve">Conforme al informe financiero del </w:t>
      </w:r>
      <w:r w:rsidR="00615B38" w:rsidRPr="004F06F2">
        <w:rPr>
          <w:rFonts w:eastAsia="Calibri" w:cs="Times New Roman"/>
          <w:sz w:val="22"/>
          <w:szCs w:val="22"/>
        </w:rPr>
        <w:t>cuarto</w:t>
      </w:r>
      <w:r w:rsidRPr="004F06F2">
        <w:rPr>
          <w:rFonts w:eastAsia="Calibri" w:cs="Times New Roman"/>
          <w:sz w:val="22"/>
          <w:szCs w:val="22"/>
        </w:rPr>
        <w:t xml:space="preserve"> trimestre de 2023, presentado por el Banco de México (BANXICO), el 2</w:t>
      </w:r>
      <w:r w:rsidR="00615B38" w:rsidRPr="004F06F2">
        <w:rPr>
          <w:rFonts w:eastAsia="Calibri" w:cs="Times New Roman"/>
          <w:sz w:val="22"/>
          <w:szCs w:val="22"/>
        </w:rPr>
        <w:t>8</w:t>
      </w:r>
      <w:r w:rsidRPr="004F06F2">
        <w:rPr>
          <w:rFonts w:eastAsia="Calibri" w:cs="Times New Roman"/>
          <w:sz w:val="22"/>
          <w:szCs w:val="22"/>
        </w:rPr>
        <w:t xml:space="preserve"> de </w:t>
      </w:r>
      <w:r w:rsidR="00615B38" w:rsidRPr="004F06F2">
        <w:rPr>
          <w:rFonts w:eastAsia="Calibri" w:cs="Times New Roman"/>
          <w:sz w:val="22"/>
          <w:szCs w:val="22"/>
        </w:rPr>
        <w:t>febrero</w:t>
      </w:r>
      <w:r w:rsidRPr="004F06F2">
        <w:rPr>
          <w:rFonts w:eastAsia="Calibri" w:cs="Times New Roman"/>
          <w:sz w:val="22"/>
          <w:szCs w:val="22"/>
        </w:rPr>
        <w:t xml:space="preserve"> de 202</w:t>
      </w:r>
      <w:r w:rsidR="00615B38" w:rsidRPr="004F06F2">
        <w:rPr>
          <w:rFonts w:eastAsia="Calibri" w:cs="Times New Roman"/>
          <w:sz w:val="22"/>
          <w:szCs w:val="22"/>
        </w:rPr>
        <w:t>4</w:t>
      </w:r>
      <w:r w:rsidR="00CC38A4" w:rsidRPr="004F06F2">
        <w:rPr>
          <w:sz w:val="22"/>
          <w:szCs w:val="22"/>
        </w:rPr>
        <w:t>, el entorno externo se caracterizó por una moderación de la</w:t>
      </w:r>
      <w:r w:rsidR="005956EF" w:rsidRPr="004F06F2">
        <w:rPr>
          <w:sz w:val="22"/>
          <w:szCs w:val="22"/>
        </w:rPr>
        <w:t xml:space="preserve"> actividad económica mundial</w:t>
      </w:r>
      <w:r w:rsidR="00CC38A4" w:rsidRPr="004F06F2">
        <w:rPr>
          <w:sz w:val="22"/>
          <w:szCs w:val="22"/>
        </w:rPr>
        <w:t xml:space="preserve"> sin embargo se mantuvo resiliente; así como por un proceso de desinflación que siguió avanzando globalmente. Las inflaciones general y subyacente registraron niveles significativamente por debajo de los máximos registrados en el actual episodio inflacionario derivado de los choques de la pandemia y del conflicto bélico en Ucrania.</w:t>
      </w:r>
    </w:p>
    <w:p w14:paraId="51146761" w14:textId="77777777" w:rsidR="00212B26" w:rsidRPr="004F06F2" w:rsidRDefault="00212B26" w:rsidP="007C0EB4">
      <w:pPr>
        <w:spacing w:before="0" w:after="0"/>
        <w:rPr>
          <w:sz w:val="22"/>
          <w:szCs w:val="22"/>
        </w:rPr>
      </w:pPr>
    </w:p>
    <w:p w14:paraId="00CDFE15" w14:textId="3FAA6786" w:rsidR="00CC38A4" w:rsidRPr="004F06F2" w:rsidRDefault="00BC5D26" w:rsidP="007C0EB4">
      <w:pPr>
        <w:spacing w:before="0" w:after="0"/>
        <w:rPr>
          <w:sz w:val="22"/>
          <w:szCs w:val="22"/>
        </w:rPr>
      </w:pPr>
      <w:r w:rsidRPr="004F06F2">
        <w:rPr>
          <w:sz w:val="22"/>
          <w:szCs w:val="22"/>
        </w:rPr>
        <w:t xml:space="preserve">En el ámbito interno, en el cuarto trimestre de 2023 la actividad económica presentó un bajo crecimiento. Aun así, para 2023 en su conjunto el Producto Interno Bruto (PIB) exhibió una expansión robusta de 3.2%, en un contexto en el que todavía continuaron desvaneciéndose algunos de los efectos ocasionados </w:t>
      </w:r>
      <w:r w:rsidRPr="004F06F2">
        <w:rPr>
          <w:sz w:val="22"/>
          <w:szCs w:val="22"/>
        </w:rPr>
        <w:lastRenderedPageBreak/>
        <w:t>por la pandemia, de resiliencia de la economía de Estados Unidos y de avances en diversos proyectos de infraestructura pública.</w:t>
      </w:r>
    </w:p>
    <w:p w14:paraId="16CECAEF" w14:textId="77777777" w:rsidR="00212B26" w:rsidRPr="004F06F2" w:rsidRDefault="00212B26" w:rsidP="007C0EB4">
      <w:pPr>
        <w:spacing w:before="0" w:after="0"/>
        <w:rPr>
          <w:sz w:val="22"/>
          <w:szCs w:val="22"/>
        </w:rPr>
      </w:pPr>
    </w:p>
    <w:p w14:paraId="06FB3871" w14:textId="0C02BC54" w:rsidR="00BC5D26" w:rsidRPr="004F06F2" w:rsidRDefault="00BC5D26" w:rsidP="007C0EB4">
      <w:pPr>
        <w:spacing w:before="0" w:after="0"/>
        <w:rPr>
          <w:sz w:val="22"/>
          <w:szCs w:val="22"/>
        </w:rPr>
      </w:pPr>
      <w:r w:rsidRPr="004F06F2">
        <w:rPr>
          <w:sz w:val="22"/>
          <w:szCs w:val="22"/>
        </w:rPr>
        <w:t>Entre el tercer y el cuarto trimestre de 2023, la inflación general anual en México disminuyó de 4.63 a 4.41%.</w:t>
      </w:r>
      <w:r w:rsidR="005956EF" w:rsidRPr="004F06F2">
        <w:rPr>
          <w:sz w:val="22"/>
          <w:szCs w:val="22"/>
        </w:rPr>
        <w:t xml:space="preserve"> La</w:t>
      </w:r>
      <w:r w:rsidRPr="004F06F2">
        <w:rPr>
          <w:sz w:val="22"/>
          <w:szCs w:val="22"/>
        </w:rPr>
        <w:t xml:space="preserve"> economía nacional presentó una desaceleración mayor a la prevista, esta se dio después de un comportamiento dinámico en los tres primeros trimestres, de modo que el crecimiento del año en su conjunto fue robusto.</w:t>
      </w:r>
    </w:p>
    <w:p w14:paraId="164BEC5F" w14:textId="77777777" w:rsidR="00212B26" w:rsidRPr="004F06F2" w:rsidRDefault="00212B26" w:rsidP="007C0EB4">
      <w:pPr>
        <w:spacing w:before="0" w:after="0"/>
        <w:rPr>
          <w:sz w:val="22"/>
          <w:szCs w:val="22"/>
        </w:rPr>
      </w:pPr>
    </w:p>
    <w:p w14:paraId="48D47BED" w14:textId="16F2A419" w:rsidR="00BC5D26" w:rsidRPr="004F06F2" w:rsidRDefault="005956EF" w:rsidP="007C0EB4">
      <w:pPr>
        <w:spacing w:before="0" w:after="0"/>
        <w:rPr>
          <w:sz w:val="22"/>
          <w:szCs w:val="22"/>
        </w:rPr>
      </w:pPr>
      <w:r w:rsidRPr="004F06F2">
        <w:rPr>
          <w:sz w:val="22"/>
          <w:szCs w:val="22"/>
        </w:rPr>
        <w:t>L</w:t>
      </w:r>
      <w:r w:rsidR="00BC5D26" w:rsidRPr="004F06F2">
        <w:rPr>
          <w:sz w:val="22"/>
          <w:szCs w:val="22"/>
        </w:rPr>
        <w:t>a estimación puntual del pronóstico del PIB de 2024 se revise de 3.0% en el Informe previo a 2.8% en el actual</w:t>
      </w:r>
      <w:r w:rsidRPr="004F06F2">
        <w:rPr>
          <w:sz w:val="22"/>
          <w:szCs w:val="22"/>
        </w:rPr>
        <w:t>.</w:t>
      </w:r>
      <w:r w:rsidR="00BC5D26" w:rsidRPr="004F06F2">
        <w:rPr>
          <w:sz w:val="22"/>
          <w:szCs w:val="22"/>
        </w:rPr>
        <w:t xml:space="preserve"> El intervalo para el crecimiento esperado del PIB para el año se ajusta a uno de entre 2.2 a 3.4%.</w:t>
      </w:r>
    </w:p>
    <w:p w14:paraId="26CCC6DE" w14:textId="302AA187" w:rsidR="00D01024" w:rsidRPr="004F06F2" w:rsidRDefault="00BC5D26" w:rsidP="00D01024">
      <w:pPr>
        <w:spacing w:before="0" w:after="0"/>
        <w:jc w:val="center"/>
        <w:rPr>
          <w:noProof/>
          <w:lang w:val="es-MX" w:eastAsia="es-MX"/>
        </w:rPr>
      </w:pPr>
      <w:r w:rsidRPr="004F06F2">
        <w:rPr>
          <w:noProof/>
          <w:sz w:val="22"/>
          <w:szCs w:val="22"/>
          <w:lang w:val="es-MX" w:eastAsia="es-MX"/>
        </w:rPr>
        <w:drawing>
          <wp:inline distT="0" distB="0" distL="0" distR="0" wp14:anchorId="14E141CA" wp14:editId="218769DF">
            <wp:extent cx="3144961" cy="1340258"/>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16545" cy="1370764"/>
                    </a:xfrm>
                    <a:prstGeom prst="rect">
                      <a:avLst/>
                    </a:prstGeom>
                  </pic:spPr>
                </pic:pic>
              </a:graphicData>
            </a:graphic>
          </wp:inline>
        </w:drawing>
      </w:r>
    </w:p>
    <w:p w14:paraId="62404BCA" w14:textId="6E8376AE" w:rsidR="00BC5D26" w:rsidRPr="004F06F2" w:rsidRDefault="00BC5D26" w:rsidP="00D01024">
      <w:pPr>
        <w:spacing w:before="0" w:after="0"/>
        <w:jc w:val="center"/>
        <w:rPr>
          <w:sz w:val="22"/>
          <w:szCs w:val="22"/>
        </w:rPr>
      </w:pPr>
      <w:r w:rsidRPr="004F06F2">
        <w:rPr>
          <w:noProof/>
          <w:sz w:val="22"/>
          <w:szCs w:val="22"/>
          <w:lang w:val="es-MX" w:eastAsia="es-MX"/>
        </w:rPr>
        <w:drawing>
          <wp:inline distT="0" distB="0" distL="0" distR="0" wp14:anchorId="55B3CF48" wp14:editId="719F3650">
            <wp:extent cx="2715905" cy="2089609"/>
            <wp:effectExtent l="0" t="0" r="8255"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41415" cy="2109236"/>
                    </a:xfrm>
                    <a:prstGeom prst="rect">
                      <a:avLst/>
                    </a:prstGeom>
                  </pic:spPr>
                </pic:pic>
              </a:graphicData>
            </a:graphic>
          </wp:inline>
        </w:drawing>
      </w:r>
    </w:p>
    <w:p w14:paraId="79991835" w14:textId="77777777" w:rsidR="00CC38A4" w:rsidRPr="004F06F2" w:rsidRDefault="00CC38A4" w:rsidP="007C0EB4">
      <w:pPr>
        <w:spacing w:before="0" w:after="0"/>
        <w:rPr>
          <w:sz w:val="22"/>
          <w:szCs w:val="22"/>
        </w:rPr>
      </w:pPr>
    </w:p>
    <w:p w14:paraId="62BB5D9A" w14:textId="44FFE81E" w:rsidR="0055109B" w:rsidRPr="004F06F2" w:rsidRDefault="005956EF" w:rsidP="007C0EB4">
      <w:pPr>
        <w:spacing w:before="0" w:after="0"/>
        <w:rPr>
          <w:rFonts w:eastAsia="Calibri" w:cs="Times New Roman"/>
          <w:sz w:val="22"/>
          <w:szCs w:val="22"/>
        </w:rPr>
      </w:pPr>
      <w:bookmarkStart w:id="4" w:name="_Hlk166238011"/>
      <w:r w:rsidRPr="004F06F2">
        <w:rPr>
          <w:rFonts w:eastAsia="Calibri" w:cs="Times New Roman"/>
          <w:sz w:val="22"/>
          <w:szCs w:val="22"/>
        </w:rPr>
        <w:t>D</w:t>
      </w:r>
      <w:r w:rsidR="0055109B" w:rsidRPr="004F06F2">
        <w:rPr>
          <w:rFonts w:eastAsia="Calibri" w:cs="Times New Roman"/>
          <w:sz w:val="22"/>
          <w:szCs w:val="22"/>
        </w:rPr>
        <w:t xml:space="preserve">urante el </w:t>
      </w:r>
      <w:r w:rsidR="00D348E1">
        <w:rPr>
          <w:rFonts w:eastAsia="Calibri" w:cs="Times New Roman"/>
          <w:sz w:val="22"/>
          <w:szCs w:val="22"/>
        </w:rPr>
        <w:t xml:space="preserve">cuarto </w:t>
      </w:r>
      <w:r w:rsidR="0055109B" w:rsidRPr="004F06F2">
        <w:rPr>
          <w:rFonts w:eastAsia="Calibri" w:cs="Times New Roman"/>
          <w:sz w:val="22"/>
          <w:szCs w:val="22"/>
        </w:rPr>
        <w:t>trimestre de 2023, la coyuntura</w:t>
      </w:r>
      <w:bookmarkEnd w:id="4"/>
      <w:r w:rsidR="0055109B" w:rsidRPr="004F06F2">
        <w:rPr>
          <w:rFonts w:eastAsia="Calibri" w:cs="Times New Roman"/>
          <w:sz w:val="22"/>
          <w:szCs w:val="22"/>
        </w:rPr>
        <w:t xml:space="preserve"> externa se caracterizó por una inflación global todavía elevada, pero que siguió descendiendo; por expansión de la actividad económica con marcada heterogeneidad; por condiciones financieras que continuaron apretadas a nivel internacional.</w:t>
      </w:r>
    </w:p>
    <w:p w14:paraId="79B7BF2A" w14:textId="77777777" w:rsidR="00212B26" w:rsidRPr="004F06F2" w:rsidRDefault="00212B26" w:rsidP="007C0EB4">
      <w:pPr>
        <w:spacing w:before="0" w:after="0"/>
        <w:rPr>
          <w:rFonts w:eastAsia="Calibri" w:cs="Times New Roman"/>
          <w:sz w:val="22"/>
          <w:szCs w:val="22"/>
        </w:rPr>
      </w:pPr>
    </w:p>
    <w:p w14:paraId="446CEBB8" w14:textId="7A196B4D" w:rsidR="00D01024" w:rsidRPr="004F06F2" w:rsidRDefault="00D01024" w:rsidP="0055109B">
      <w:pPr>
        <w:spacing w:before="0" w:after="0"/>
        <w:rPr>
          <w:sz w:val="22"/>
          <w:szCs w:val="22"/>
        </w:rPr>
      </w:pPr>
      <w:r w:rsidRPr="004F06F2">
        <w:rPr>
          <w:sz w:val="22"/>
          <w:szCs w:val="22"/>
        </w:rPr>
        <w:t>Entre los principales riesgos a los que está sujeta la inflación destacan:</w:t>
      </w:r>
    </w:p>
    <w:p w14:paraId="4581BB5C" w14:textId="77777777" w:rsidR="00D01024" w:rsidRPr="004F06F2" w:rsidRDefault="00D01024" w:rsidP="0055109B">
      <w:pPr>
        <w:spacing w:before="0" w:after="0"/>
        <w:rPr>
          <w:sz w:val="22"/>
          <w:szCs w:val="22"/>
        </w:rPr>
      </w:pPr>
      <w:r w:rsidRPr="004F06F2">
        <w:rPr>
          <w:sz w:val="22"/>
          <w:szCs w:val="22"/>
        </w:rPr>
        <w:t xml:space="preserve">Al alza: </w:t>
      </w:r>
    </w:p>
    <w:p w14:paraId="47AE6CCD" w14:textId="482A4ECE" w:rsidR="00D01024" w:rsidRPr="004F06F2" w:rsidRDefault="00D01024" w:rsidP="005956EF">
      <w:pPr>
        <w:pStyle w:val="Prrafodelista"/>
        <w:numPr>
          <w:ilvl w:val="0"/>
          <w:numId w:val="26"/>
        </w:numPr>
        <w:spacing w:line="276" w:lineRule="auto"/>
        <w:ind w:hanging="11"/>
        <w:jc w:val="both"/>
        <w:rPr>
          <w:rFonts w:ascii="GalanoGrotesque-Light" w:eastAsiaTheme="minorHAnsi" w:hAnsi="GalanoGrotesque-Light" w:cstheme="minorBidi"/>
          <w:sz w:val="22"/>
          <w:szCs w:val="22"/>
          <w:lang w:val="es-ES" w:eastAsia="en-US"/>
        </w:rPr>
      </w:pPr>
      <w:r w:rsidRPr="004F06F2">
        <w:rPr>
          <w:rFonts w:ascii="GalanoGrotesque-Light" w:eastAsiaTheme="minorHAnsi" w:hAnsi="GalanoGrotesque-Light" w:cstheme="minorBidi"/>
          <w:sz w:val="22"/>
          <w:szCs w:val="22"/>
          <w:lang w:val="es-ES" w:eastAsia="en-US"/>
        </w:rPr>
        <w:lastRenderedPageBreak/>
        <w:t xml:space="preserve">Persistencia de la inflación subyacente, ante la magnitud, alcance y duración de los choques que se han enfrentado y que la han llevado a niveles elevados. </w:t>
      </w:r>
    </w:p>
    <w:p w14:paraId="7FB01DCE" w14:textId="37BF7A4B" w:rsidR="00D01024" w:rsidRPr="004F06F2" w:rsidRDefault="00D01024" w:rsidP="005956EF">
      <w:pPr>
        <w:pStyle w:val="Prrafodelista"/>
        <w:numPr>
          <w:ilvl w:val="0"/>
          <w:numId w:val="26"/>
        </w:numPr>
        <w:spacing w:line="276" w:lineRule="auto"/>
        <w:ind w:hanging="11"/>
        <w:jc w:val="both"/>
        <w:rPr>
          <w:rFonts w:ascii="GalanoGrotesque-Light" w:eastAsiaTheme="minorHAnsi" w:hAnsi="GalanoGrotesque-Light" w:cstheme="minorBidi"/>
          <w:sz w:val="22"/>
          <w:szCs w:val="22"/>
          <w:lang w:val="es-ES" w:eastAsia="en-US"/>
        </w:rPr>
      </w:pPr>
      <w:r w:rsidRPr="004F06F2">
        <w:rPr>
          <w:rFonts w:ascii="GalanoGrotesque-Light" w:eastAsiaTheme="minorHAnsi" w:hAnsi="GalanoGrotesque-Light" w:cstheme="minorBidi"/>
          <w:sz w:val="22"/>
          <w:szCs w:val="22"/>
          <w:lang w:val="es-ES" w:eastAsia="en-US"/>
        </w:rPr>
        <w:t xml:space="preserve">Episodios de depreciación cambiaria, posiblemente ante eventos de volatilidad en los mercados financieros internacionales. </w:t>
      </w:r>
    </w:p>
    <w:p w14:paraId="666EFD50" w14:textId="2A484929" w:rsidR="00D01024" w:rsidRPr="004F06F2" w:rsidRDefault="00D01024" w:rsidP="005956EF">
      <w:pPr>
        <w:pStyle w:val="Prrafodelista"/>
        <w:numPr>
          <w:ilvl w:val="0"/>
          <w:numId w:val="26"/>
        </w:numPr>
        <w:spacing w:line="276" w:lineRule="auto"/>
        <w:ind w:hanging="11"/>
        <w:jc w:val="both"/>
        <w:rPr>
          <w:rFonts w:ascii="GalanoGrotesque-Light" w:eastAsiaTheme="minorHAnsi" w:hAnsi="GalanoGrotesque-Light" w:cstheme="minorBidi"/>
          <w:sz w:val="22"/>
          <w:szCs w:val="22"/>
          <w:lang w:val="es-ES" w:eastAsia="en-US"/>
        </w:rPr>
      </w:pPr>
      <w:r w:rsidRPr="004F06F2">
        <w:rPr>
          <w:rFonts w:ascii="GalanoGrotesque-Light" w:eastAsiaTheme="minorHAnsi" w:hAnsi="GalanoGrotesque-Light" w:cstheme="minorBidi"/>
          <w:sz w:val="22"/>
          <w:szCs w:val="22"/>
          <w:lang w:val="es-ES" w:eastAsia="en-US"/>
        </w:rPr>
        <w:t xml:space="preserve">Mayores presiones de costos que pudieran traspasarse a los precios al consumidor. </w:t>
      </w:r>
    </w:p>
    <w:p w14:paraId="45BB5D82" w14:textId="227E1EC5" w:rsidR="00D01024" w:rsidRPr="004F06F2" w:rsidRDefault="00D01024" w:rsidP="005956EF">
      <w:pPr>
        <w:pStyle w:val="Prrafodelista"/>
        <w:numPr>
          <w:ilvl w:val="0"/>
          <w:numId w:val="26"/>
        </w:numPr>
        <w:spacing w:line="276" w:lineRule="auto"/>
        <w:ind w:hanging="11"/>
        <w:jc w:val="both"/>
        <w:rPr>
          <w:rFonts w:ascii="GalanoGrotesque-Light" w:eastAsiaTheme="minorHAnsi" w:hAnsi="GalanoGrotesque-Light" w:cstheme="minorBidi"/>
          <w:sz w:val="22"/>
          <w:szCs w:val="22"/>
          <w:lang w:val="es-ES" w:eastAsia="en-US"/>
        </w:rPr>
      </w:pPr>
      <w:r w:rsidRPr="004F06F2">
        <w:rPr>
          <w:rFonts w:ascii="GalanoGrotesque-Light" w:eastAsiaTheme="minorHAnsi" w:hAnsi="GalanoGrotesque-Light" w:cstheme="minorBidi"/>
          <w:sz w:val="22"/>
          <w:szCs w:val="22"/>
          <w:lang w:val="es-ES" w:eastAsia="en-US"/>
        </w:rPr>
        <w:t xml:space="preserve">Que la economía muestre una resiliencia mayor a la esperada que incida en una reducción de la inflación más gradual de lo previsto. </w:t>
      </w:r>
    </w:p>
    <w:p w14:paraId="3BF1842A" w14:textId="28E086BF" w:rsidR="00D01024" w:rsidRPr="004F06F2" w:rsidRDefault="00D01024" w:rsidP="005956EF">
      <w:pPr>
        <w:pStyle w:val="Prrafodelista"/>
        <w:numPr>
          <w:ilvl w:val="0"/>
          <w:numId w:val="26"/>
        </w:numPr>
        <w:spacing w:line="276" w:lineRule="auto"/>
        <w:ind w:hanging="11"/>
        <w:jc w:val="both"/>
        <w:rPr>
          <w:rFonts w:ascii="GalanoGrotesque-Light" w:eastAsiaTheme="minorHAnsi" w:hAnsi="GalanoGrotesque-Light" w:cstheme="minorBidi"/>
          <w:sz w:val="22"/>
          <w:szCs w:val="22"/>
          <w:lang w:val="es-ES" w:eastAsia="en-US"/>
        </w:rPr>
      </w:pPr>
      <w:r w:rsidRPr="004F06F2">
        <w:rPr>
          <w:rFonts w:ascii="GalanoGrotesque-Light" w:eastAsiaTheme="minorHAnsi" w:hAnsi="GalanoGrotesque-Light" w:cstheme="minorBidi"/>
          <w:sz w:val="22"/>
          <w:szCs w:val="22"/>
          <w:lang w:val="es-ES" w:eastAsia="en-US"/>
        </w:rPr>
        <w:t xml:space="preserve">Afectaciones climáticas que pudieran impactar los precios de algunos productos. </w:t>
      </w:r>
    </w:p>
    <w:p w14:paraId="21B1DB9D" w14:textId="35C3C535" w:rsidR="00D01024" w:rsidRPr="004F06F2" w:rsidRDefault="00D01024" w:rsidP="005956EF">
      <w:pPr>
        <w:pStyle w:val="Prrafodelista"/>
        <w:numPr>
          <w:ilvl w:val="0"/>
          <w:numId w:val="26"/>
        </w:numPr>
        <w:spacing w:line="276" w:lineRule="auto"/>
        <w:ind w:hanging="11"/>
        <w:jc w:val="both"/>
        <w:rPr>
          <w:rFonts w:ascii="GalanoGrotesque-Light" w:eastAsiaTheme="minorHAnsi" w:hAnsi="GalanoGrotesque-Light" w:cstheme="minorBidi"/>
          <w:sz w:val="22"/>
          <w:szCs w:val="22"/>
          <w:lang w:val="es-ES" w:eastAsia="en-US"/>
        </w:rPr>
      </w:pPr>
      <w:r w:rsidRPr="004F06F2">
        <w:rPr>
          <w:rFonts w:ascii="GalanoGrotesque-Light" w:eastAsiaTheme="minorHAnsi" w:hAnsi="GalanoGrotesque-Light" w:cstheme="minorBidi"/>
          <w:sz w:val="22"/>
          <w:szCs w:val="22"/>
          <w:lang w:val="es-ES" w:eastAsia="en-US"/>
        </w:rPr>
        <w:t xml:space="preserve">Una profundización de los conflictos geopolíticos que pudiera generar disrupciones en las cadenas globales de producción. </w:t>
      </w:r>
    </w:p>
    <w:p w14:paraId="010B4ED3" w14:textId="77777777" w:rsidR="00D01024" w:rsidRPr="004F06F2" w:rsidRDefault="00D01024" w:rsidP="005956EF">
      <w:pPr>
        <w:spacing w:line="276" w:lineRule="auto"/>
        <w:rPr>
          <w:sz w:val="22"/>
          <w:szCs w:val="22"/>
        </w:rPr>
      </w:pPr>
      <w:r w:rsidRPr="004F06F2">
        <w:rPr>
          <w:sz w:val="22"/>
          <w:szCs w:val="22"/>
        </w:rPr>
        <w:t xml:space="preserve">A la baja: </w:t>
      </w:r>
    </w:p>
    <w:p w14:paraId="6BA561F6" w14:textId="3A1D6EB5" w:rsidR="00D01024" w:rsidRPr="004F06F2" w:rsidRDefault="00D01024" w:rsidP="005956EF">
      <w:pPr>
        <w:pStyle w:val="Prrafodelista"/>
        <w:numPr>
          <w:ilvl w:val="0"/>
          <w:numId w:val="27"/>
        </w:numPr>
        <w:spacing w:line="276" w:lineRule="auto"/>
        <w:ind w:hanging="11"/>
        <w:jc w:val="both"/>
        <w:rPr>
          <w:rFonts w:ascii="GalanoGrotesque-Light" w:eastAsiaTheme="minorHAnsi" w:hAnsi="GalanoGrotesque-Light" w:cstheme="minorBidi"/>
          <w:sz w:val="22"/>
          <w:szCs w:val="22"/>
          <w:lang w:val="es-ES" w:eastAsia="en-US"/>
        </w:rPr>
      </w:pPr>
      <w:r w:rsidRPr="004F06F2">
        <w:rPr>
          <w:rFonts w:ascii="GalanoGrotesque-Light" w:eastAsiaTheme="minorHAnsi" w:hAnsi="GalanoGrotesque-Light" w:cstheme="minorBidi"/>
          <w:sz w:val="22"/>
          <w:szCs w:val="22"/>
          <w:lang w:val="es-ES" w:eastAsia="en-US"/>
        </w:rPr>
        <w:t xml:space="preserve">Una actividad económica mundial, de Estados Unidos o de México, menor a la anticipada que pudiera implicar menores presiones sobre la inflación de nuestro país. </w:t>
      </w:r>
    </w:p>
    <w:p w14:paraId="5B1907A3" w14:textId="18DACCD1" w:rsidR="00D01024" w:rsidRPr="004F06F2" w:rsidRDefault="00D01024" w:rsidP="005956EF">
      <w:pPr>
        <w:pStyle w:val="Prrafodelista"/>
        <w:numPr>
          <w:ilvl w:val="0"/>
          <w:numId w:val="27"/>
        </w:numPr>
        <w:spacing w:line="276" w:lineRule="auto"/>
        <w:ind w:hanging="11"/>
        <w:jc w:val="both"/>
        <w:rPr>
          <w:rFonts w:ascii="GalanoGrotesque-Light" w:eastAsiaTheme="minorHAnsi" w:hAnsi="GalanoGrotesque-Light" w:cstheme="minorBidi"/>
          <w:sz w:val="22"/>
          <w:szCs w:val="22"/>
          <w:lang w:val="es-ES" w:eastAsia="en-US"/>
        </w:rPr>
      </w:pPr>
      <w:r w:rsidRPr="004F06F2">
        <w:rPr>
          <w:rFonts w:ascii="GalanoGrotesque-Light" w:eastAsiaTheme="minorHAnsi" w:hAnsi="GalanoGrotesque-Light" w:cstheme="minorBidi"/>
          <w:sz w:val="22"/>
          <w:szCs w:val="22"/>
          <w:lang w:val="es-ES" w:eastAsia="en-US"/>
        </w:rPr>
        <w:t xml:space="preserve">Que el traspaso de las presiones de costos a los precios esté acotado. </w:t>
      </w:r>
    </w:p>
    <w:p w14:paraId="637EE58B" w14:textId="77777777" w:rsidR="005956EF" w:rsidRPr="004F06F2" w:rsidRDefault="00D01024" w:rsidP="005956EF">
      <w:pPr>
        <w:pStyle w:val="Prrafodelista"/>
        <w:numPr>
          <w:ilvl w:val="0"/>
          <w:numId w:val="27"/>
        </w:numPr>
        <w:spacing w:line="276" w:lineRule="auto"/>
        <w:ind w:hanging="11"/>
        <w:jc w:val="both"/>
        <w:rPr>
          <w:rFonts w:ascii="GalanoGrotesque-Light" w:eastAsiaTheme="minorHAnsi" w:hAnsi="GalanoGrotesque-Light" w:cstheme="minorBidi"/>
          <w:sz w:val="22"/>
          <w:szCs w:val="22"/>
          <w:lang w:val="es-ES" w:eastAsia="en-US"/>
        </w:rPr>
      </w:pPr>
      <w:r w:rsidRPr="004F06F2">
        <w:rPr>
          <w:rFonts w:ascii="GalanoGrotesque-Light" w:eastAsiaTheme="minorHAnsi" w:hAnsi="GalanoGrotesque-Light" w:cstheme="minorBidi"/>
          <w:sz w:val="22"/>
          <w:szCs w:val="22"/>
          <w:lang w:val="es-ES" w:eastAsia="en-US"/>
        </w:rPr>
        <w:t xml:space="preserve">Que los niveles más bajos del tipo de cambio respecto a inicios de 2023 contribuyan más que lo anticipado a mitigar ciertas presiones sobre </w:t>
      </w:r>
      <w:r w:rsidR="005956EF" w:rsidRPr="004F06F2">
        <w:rPr>
          <w:rFonts w:ascii="GalanoGrotesque-Light" w:eastAsiaTheme="minorHAnsi" w:hAnsi="GalanoGrotesque-Light" w:cstheme="minorBidi"/>
          <w:sz w:val="22"/>
          <w:szCs w:val="22"/>
          <w:lang w:val="es-ES" w:eastAsia="en-US"/>
        </w:rPr>
        <w:t xml:space="preserve">la </w:t>
      </w:r>
      <w:r w:rsidRPr="004F06F2">
        <w:rPr>
          <w:rFonts w:ascii="GalanoGrotesque-Light" w:eastAsiaTheme="minorHAnsi" w:hAnsi="GalanoGrotesque-Light" w:cstheme="minorBidi"/>
          <w:sz w:val="22"/>
          <w:szCs w:val="22"/>
          <w:lang w:val="es-ES" w:eastAsia="en-US"/>
        </w:rPr>
        <w:t>inflación</w:t>
      </w:r>
      <w:r w:rsidR="005956EF" w:rsidRPr="004F06F2">
        <w:rPr>
          <w:rFonts w:ascii="GalanoGrotesque-Light" w:eastAsiaTheme="minorHAnsi" w:hAnsi="GalanoGrotesque-Light" w:cstheme="minorBidi"/>
          <w:sz w:val="22"/>
          <w:szCs w:val="22"/>
          <w:lang w:val="es-ES" w:eastAsia="en-US"/>
        </w:rPr>
        <w:t xml:space="preserve">.   </w:t>
      </w:r>
    </w:p>
    <w:p w14:paraId="3BF7BD9C" w14:textId="1638F96A" w:rsidR="00D01024" w:rsidRPr="004F06F2" w:rsidRDefault="00D01024" w:rsidP="005956EF">
      <w:pPr>
        <w:spacing w:line="276" w:lineRule="auto"/>
        <w:ind w:left="709"/>
        <w:jc w:val="center"/>
        <w:rPr>
          <w:rFonts w:eastAsia="Calibri"/>
          <w:sz w:val="22"/>
          <w:szCs w:val="22"/>
        </w:rPr>
      </w:pPr>
      <w:r w:rsidRPr="004F06F2">
        <w:rPr>
          <w:noProof/>
          <w:lang w:val="es-MX" w:eastAsia="es-MX"/>
        </w:rPr>
        <w:drawing>
          <wp:inline distT="0" distB="0" distL="0" distR="0" wp14:anchorId="3E906292" wp14:editId="718F114D">
            <wp:extent cx="4005618" cy="2476979"/>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80446" cy="2523251"/>
                    </a:xfrm>
                    <a:prstGeom prst="rect">
                      <a:avLst/>
                    </a:prstGeom>
                  </pic:spPr>
                </pic:pic>
              </a:graphicData>
            </a:graphic>
          </wp:inline>
        </w:drawing>
      </w:r>
    </w:p>
    <w:p w14:paraId="2AE1CEFE" w14:textId="77777777" w:rsidR="008B4AE6" w:rsidRPr="004F06F2" w:rsidRDefault="008B4AE6" w:rsidP="00D01024">
      <w:pPr>
        <w:rPr>
          <w:rFonts w:eastAsia="Calibri" w:cs="Times New Roman"/>
          <w:sz w:val="22"/>
          <w:szCs w:val="22"/>
        </w:rPr>
      </w:pPr>
    </w:p>
    <w:p w14:paraId="33CE9D0C" w14:textId="386AF548" w:rsidR="008B4AE6" w:rsidRPr="004F06F2" w:rsidRDefault="008B4AE6" w:rsidP="005956EF">
      <w:pPr>
        <w:jc w:val="center"/>
        <w:rPr>
          <w:rFonts w:eastAsia="Calibri" w:cs="Times New Roman"/>
          <w:sz w:val="22"/>
          <w:szCs w:val="22"/>
        </w:rPr>
      </w:pPr>
      <w:r w:rsidRPr="004F06F2">
        <w:rPr>
          <w:rFonts w:eastAsia="Calibri" w:cs="Times New Roman"/>
          <w:noProof/>
          <w:sz w:val="22"/>
          <w:szCs w:val="22"/>
          <w:lang w:val="es-MX" w:eastAsia="es-MX"/>
        </w:rPr>
        <w:lastRenderedPageBreak/>
        <w:drawing>
          <wp:inline distT="0" distB="0" distL="0" distR="0" wp14:anchorId="7A508C57" wp14:editId="5D2EBA0C">
            <wp:extent cx="5711588" cy="2525159"/>
            <wp:effectExtent l="0" t="0" r="3810" b="889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7518" cy="2536623"/>
                    </a:xfrm>
                    <a:prstGeom prst="rect">
                      <a:avLst/>
                    </a:prstGeom>
                  </pic:spPr>
                </pic:pic>
              </a:graphicData>
            </a:graphic>
          </wp:inline>
        </w:drawing>
      </w:r>
    </w:p>
    <w:p w14:paraId="4A812B86" w14:textId="4B5497A4" w:rsidR="008B4AE6" w:rsidRPr="004F06F2" w:rsidRDefault="008B4AE6" w:rsidP="008B4AE6">
      <w:pPr>
        <w:spacing w:before="0" w:after="0"/>
        <w:rPr>
          <w:rFonts w:eastAsia="Calibri" w:cs="Times New Roman"/>
          <w:sz w:val="22"/>
          <w:szCs w:val="22"/>
        </w:rPr>
      </w:pPr>
      <w:r w:rsidRPr="004F06F2">
        <w:rPr>
          <w:rFonts w:eastAsia="Calibri" w:cs="Times New Roman"/>
          <w:sz w:val="22"/>
          <w:szCs w:val="22"/>
        </w:rPr>
        <w:t xml:space="preserve">Según el INEGI, Michoacán de Ocampo tuvo un aumento importante en su actividad económica durante el cuarto trimestre de 2023, Según el Indicador Trimestral de la Actividad Económica Estatal (ITAEE), tuvo una variación porcentual real de 1.6% en comparación con el tercer trimestre de 2023. </w:t>
      </w:r>
    </w:p>
    <w:p w14:paraId="4DD0D3BE" w14:textId="77777777" w:rsidR="008B4AE6" w:rsidRPr="004F06F2" w:rsidRDefault="008B4AE6" w:rsidP="008B4AE6">
      <w:pPr>
        <w:spacing w:before="0" w:after="0"/>
        <w:rPr>
          <w:rFonts w:eastAsia="Calibri" w:cs="Times New Roman"/>
          <w:sz w:val="22"/>
          <w:szCs w:val="22"/>
        </w:rPr>
      </w:pPr>
    </w:p>
    <w:p w14:paraId="1569A58E" w14:textId="12F8A763" w:rsidR="008B4AE6" w:rsidRPr="004F06F2" w:rsidRDefault="008B4AE6" w:rsidP="008B4AE6">
      <w:pPr>
        <w:spacing w:before="0" w:after="0"/>
        <w:rPr>
          <w:rFonts w:eastAsia="Calibri" w:cs="Times New Roman"/>
          <w:sz w:val="22"/>
          <w:szCs w:val="22"/>
        </w:rPr>
      </w:pPr>
      <w:r w:rsidRPr="004F06F2">
        <w:rPr>
          <w:rFonts w:eastAsia="Calibri" w:cs="Times New Roman"/>
          <w:sz w:val="22"/>
          <w:szCs w:val="22"/>
        </w:rPr>
        <w:t xml:space="preserve">En el cuarto trimestre de 2023, la población económicamente activa de Michoacán de Ocampo fue de 2.27M de personas. La fuerza laboral ocupada alcanzó las 2.23M personas (40.4% mujeres y 59.6% hombres) con un salario promedio mensual de $6.82k MX. Las ocupaciones que concentran mayor número de trabajadores fueron Trabajadores de Apoyo en Actividades Agrícolas (208k), Trabajadores en el Cultivo de Frutales (149k) y Empleados de Ventas, Despachadores y Dependientes en Comercios (148k). </w:t>
      </w:r>
      <w:r w:rsidR="0087563A" w:rsidRPr="004F06F2">
        <w:rPr>
          <w:rFonts w:eastAsia="Calibri" w:cs="Times New Roman"/>
          <w:sz w:val="22"/>
          <w:szCs w:val="22"/>
        </w:rPr>
        <w:t>S</w:t>
      </w:r>
      <w:r w:rsidRPr="004F06F2">
        <w:rPr>
          <w:rFonts w:eastAsia="Calibri" w:cs="Times New Roman"/>
          <w:sz w:val="22"/>
          <w:szCs w:val="22"/>
        </w:rPr>
        <w:t xml:space="preserve">e registraron 47.5k desempleados </w:t>
      </w:r>
      <w:r w:rsidR="0087563A" w:rsidRPr="004F06F2">
        <w:rPr>
          <w:rFonts w:eastAsia="Calibri" w:cs="Times New Roman"/>
          <w:sz w:val="22"/>
          <w:szCs w:val="22"/>
        </w:rPr>
        <w:t>(</w:t>
      </w:r>
      <w:r w:rsidR="00C42453" w:rsidRPr="004F06F2">
        <w:rPr>
          <w:rFonts w:eastAsia="Calibri" w:cs="Times New Roman"/>
          <w:sz w:val="22"/>
          <w:szCs w:val="22"/>
        </w:rPr>
        <w:t>tasa de desempleo de 2.09%</w:t>
      </w:r>
      <w:r w:rsidR="0087563A" w:rsidRPr="004F06F2">
        <w:rPr>
          <w:rFonts w:eastAsia="Calibri" w:cs="Times New Roman"/>
          <w:sz w:val="22"/>
          <w:szCs w:val="22"/>
        </w:rPr>
        <w:t>)</w:t>
      </w:r>
      <w:r w:rsidRPr="004F06F2">
        <w:rPr>
          <w:rFonts w:eastAsia="Calibri" w:cs="Times New Roman"/>
          <w:sz w:val="22"/>
          <w:szCs w:val="22"/>
        </w:rPr>
        <w:t>.</w:t>
      </w:r>
      <w:r w:rsidR="0087563A" w:rsidRPr="004F06F2">
        <w:rPr>
          <w:rFonts w:eastAsia="Calibri"/>
          <w:sz w:val="22"/>
          <w:szCs w:val="22"/>
        </w:rPr>
        <w:t xml:space="preserve"> No obstante lo anterior, se registra una tasa de informalidad del 66.8% de la Población Económicamente Activa.</w:t>
      </w:r>
    </w:p>
    <w:p w14:paraId="02057665" w14:textId="77777777" w:rsidR="0087563A" w:rsidRPr="004F06F2" w:rsidRDefault="0087563A" w:rsidP="008B4AE6">
      <w:pPr>
        <w:spacing w:before="0" w:after="0"/>
        <w:rPr>
          <w:rFonts w:eastAsia="Calibri" w:cs="Times New Roman"/>
          <w:sz w:val="22"/>
          <w:szCs w:val="22"/>
        </w:rPr>
      </w:pPr>
    </w:p>
    <w:p w14:paraId="1BA188BC" w14:textId="2C5EF6C7" w:rsidR="0087563A" w:rsidRPr="004F06F2" w:rsidRDefault="0087563A" w:rsidP="008B4AE6">
      <w:pPr>
        <w:spacing w:before="0" w:after="0"/>
        <w:rPr>
          <w:rFonts w:eastAsia="Calibri" w:cs="Times New Roman"/>
          <w:sz w:val="22"/>
          <w:szCs w:val="22"/>
        </w:rPr>
      </w:pPr>
      <w:r w:rsidRPr="004F06F2">
        <w:rPr>
          <w:rFonts w:eastAsia="Calibri" w:cs="Times New Roman"/>
          <w:sz w:val="22"/>
          <w:szCs w:val="22"/>
        </w:rPr>
        <w:t xml:space="preserve">Michoacán de Ocampo tuvo ventas internacionales en 2023 </w:t>
      </w:r>
      <w:r w:rsidR="00DF554D" w:rsidRPr="004F06F2">
        <w:rPr>
          <w:rFonts w:eastAsia="Calibri" w:cs="Times New Roman"/>
          <w:sz w:val="22"/>
          <w:szCs w:val="22"/>
        </w:rPr>
        <w:t xml:space="preserve">por un importe </w:t>
      </w:r>
      <w:r w:rsidRPr="004F06F2">
        <w:rPr>
          <w:rFonts w:eastAsia="Calibri" w:cs="Times New Roman"/>
          <w:sz w:val="22"/>
          <w:szCs w:val="22"/>
        </w:rPr>
        <w:t>de 5</w:t>
      </w:r>
      <w:r w:rsidR="00DF554D" w:rsidRPr="004F06F2">
        <w:rPr>
          <w:rFonts w:eastAsia="Calibri" w:cs="Times New Roman"/>
          <w:sz w:val="22"/>
          <w:szCs w:val="22"/>
        </w:rPr>
        <w:t xml:space="preserve"> mil </w:t>
      </w:r>
      <w:r w:rsidRPr="004F06F2">
        <w:rPr>
          <w:rFonts w:eastAsia="Calibri" w:cs="Times New Roman"/>
          <w:sz w:val="22"/>
          <w:szCs w:val="22"/>
        </w:rPr>
        <w:t>922</w:t>
      </w:r>
      <w:r w:rsidR="00DF554D" w:rsidRPr="004F06F2">
        <w:rPr>
          <w:rFonts w:eastAsia="Calibri" w:cs="Times New Roman"/>
          <w:sz w:val="22"/>
          <w:szCs w:val="22"/>
        </w:rPr>
        <w:t xml:space="preserve"> millones de dólares</w:t>
      </w:r>
      <w:r w:rsidRPr="004F06F2">
        <w:rPr>
          <w:rFonts w:eastAsia="Calibri" w:cs="Times New Roman"/>
          <w:sz w:val="22"/>
          <w:szCs w:val="22"/>
        </w:rPr>
        <w:t>, las cuales decrecieron un -17.2% respecto al año anterior. Los productos con mayor nivel de ventas fueron higos, piñas, aguacates, guayaba, m</w:t>
      </w:r>
      <w:r w:rsidR="00DF554D" w:rsidRPr="004F06F2">
        <w:rPr>
          <w:rFonts w:eastAsia="Calibri" w:cs="Times New Roman"/>
          <w:sz w:val="22"/>
          <w:szCs w:val="22"/>
        </w:rPr>
        <w:t xml:space="preserve">angos </w:t>
      </w:r>
      <w:r w:rsidRPr="004F06F2">
        <w:rPr>
          <w:rFonts w:eastAsia="Calibri" w:cs="Times New Roman"/>
          <w:sz w:val="22"/>
          <w:szCs w:val="22"/>
        </w:rPr>
        <w:t>y nueces, y demás partes comestibles de plantas, preparados o conservados de otro modo, incluso con adición de azúcar u otro edulcorante o alcohol, no expresados ni comprendidos en otra p</w:t>
      </w:r>
      <w:r w:rsidR="00DF554D" w:rsidRPr="004F06F2">
        <w:rPr>
          <w:rFonts w:eastAsia="Calibri" w:cs="Times New Roman"/>
          <w:sz w:val="22"/>
          <w:szCs w:val="22"/>
        </w:rPr>
        <w:t>arte</w:t>
      </w:r>
      <w:r w:rsidRPr="004F06F2">
        <w:rPr>
          <w:rFonts w:eastAsia="Calibri" w:cs="Times New Roman"/>
          <w:sz w:val="22"/>
          <w:szCs w:val="22"/>
        </w:rPr>
        <w:t>.</w:t>
      </w:r>
    </w:p>
    <w:p w14:paraId="192DB97A" w14:textId="77777777" w:rsidR="00212B26" w:rsidRPr="004F06F2" w:rsidRDefault="00212B26" w:rsidP="008B4AE6">
      <w:pPr>
        <w:spacing w:before="0" w:after="0"/>
        <w:rPr>
          <w:rFonts w:eastAsia="Calibri" w:cs="Times New Roman"/>
          <w:sz w:val="22"/>
          <w:szCs w:val="22"/>
        </w:rPr>
      </w:pPr>
    </w:p>
    <w:p w14:paraId="1F0753FD" w14:textId="5480CC82" w:rsidR="0087563A" w:rsidRPr="004F06F2" w:rsidRDefault="0087563A" w:rsidP="008B4AE6">
      <w:pPr>
        <w:spacing w:before="0" w:after="0"/>
        <w:rPr>
          <w:rFonts w:eastAsia="Calibri" w:cs="Times New Roman"/>
          <w:sz w:val="22"/>
          <w:szCs w:val="22"/>
        </w:rPr>
      </w:pPr>
      <w:r w:rsidRPr="004F06F2">
        <w:rPr>
          <w:rFonts w:eastAsia="Calibri" w:cs="Times New Roman"/>
          <w:sz w:val="22"/>
          <w:szCs w:val="22"/>
        </w:rPr>
        <w:lastRenderedPageBreak/>
        <w:t>Así mismo realizó compras internacionales po</w:t>
      </w:r>
      <w:r w:rsidR="00DF554D" w:rsidRPr="004F06F2">
        <w:rPr>
          <w:rFonts w:eastAsia="Calibri" w:cs="Times New Roman"/>
          <w:sz w:val="22"/>
          <w:szCs w:val="22"/>
        </w:rPr>
        <w:t>r</w:t>
      </w:r>
      <w:r w:rsidRPr="004F06F2">
        <w:rPr>
          <w:rFonts w:eastAsia="Calibri" w:cs="Times New Roman"/>
          <w:sz w:val="22"/>
          <w:szCs w:val="22"/>
        </w:rPr>
        <w:t xml:space="preserve"> 2</w:t>
      </w:r>
      <w:r w:rsidR="00DF554D" w:rsidRPr="004F06F2">
        <w:rPr>
          <w:rFonts w:eastAsia="Calibri" w:cs="Times New Roman"/>
          <w:sz w:val="22"/>
          <w:szCs w:val="22"/>
        </w:rPr>
        <w:t xml:space="preserve"> mil </w:t>
      </w:r>
      <w:r w:rsidRPr="004F06F2">
        <w:rPr>
          <w:rFonts w:eastAsia="Calibri" w:cs="Times New Roman"/>
          <w:sz w:val="22"/>
          <w:szCs w:val="22"/>
        </w:rPr>
        <w:t>301</w:t>
      </w:r>
      <w:r w:rsidR="00DF554D" w:rsidRPr="004F06F2">
        <w:rPr>
          <w:rFonts w:eastAsia="Calibri" w:cs="Times New Roman"/>
          <w:sz w:val="22"/>
          <w:szCs w:val="22"/>
        </w:rPr>
        <w:t xml:space="preserve"> millones de dólares</w:t>
      </w:r>
      <w:r w:rsidRPr="004F06F2">
        <w:rPr>
          <w:rFonts w:eastAsia="Calibri" w:cs="Times New Roman"/>
          <w:sz w:val="22"/>
          <w:szCs w:val="22"/>
        </w:rPr>
        <w:t xml:space="preserve">, las cuales crecieron un 11.5% respecto al año anterior. Los productos con mayor nivel de compras </w:t>
      </w:r>
      <w:r w:rsidR="00DF554D" w:rsidRPr="004F06F2">
        <w:rPr>
          <w:rFonts w:eastAsia="Calibri" w:cs="Times New Roman"/>
          <w:sz w:val="22"/>
          <w:szCs w:val="22"/>
        </w:rPr>
        <w:t>fueron abonos m</w:t>
      </w:r>
      <w:r w:rsidRPr="004F06F2">
        <w:rPr>
          <w:rFonts w:eastAsia="Calibri" w:cs="Times New Roman"/>
          <w:sz w:val="22"/>
          <w:szCs w:val="22"/>
        </w:rPr>
        <w:t xml:space="preserve">inerales o </w:t>
      </w:r>
      <w:r w:rsidR="00DF554D" w:rsidRPr="004F06F2">
        <w:rPr>
          <w:rFonts w:eastAsia="Calibri" w:cs="Times New Roman"/>
          <w:sz w:val="22"/>
          <w:szCs w:val="22"/>
        </w:rPr>
        <w:t>q</w:t>
      </w:r>
      <w:r w:rsidRPr="004F06F2">
        <w:rPr>
          <w:rFonts w:eastAsia="Calibri" w:cs="Times New Roman"/>
          <w:sz w:val="22"/>
          <w:szCs w:val="22"/>
        </w:rPr>
        <w:t xml:space="preserve">uímicos </w:t>
      </w:r>
      <w:r w:rsidR="00DF554D" w:rsidRPr="004F06F2">
        <w:rPr>
          <w:rFonts w:eastAsia="Calibri" w:cs="Times New Roman"/>
          <w:sz w:val="22"/>
          <w:szCs w:val="22"/>
        </w:rPr>
        <w:t>n</w:t>
      </w:r>
      <w:r w:rsidRPr="004F06F2">
        <w:rPr>
          <w:rFonts w:eastAsia="Calibri" w:cs="Times New Roman"/>
          <w:sz w:val="22"/>
          <w:szCs w:val="22"/>
        </w:rPr>
        <w:t xml:space="preserve">itrogenados, </w:t>
      </w:r>
      <w:r w:rsidR="00DF554D" w:rsidRPr="004F06F2">
        <w:rPr>
          <w:rFonts w:eastAsia="Calibri" w:cs="Times New Roman"/>
          <w:sz w:val="22"/>
          <w:szCs w:val="22"/>
        </w:rPr>
        <w:t>abonos m</w:t>
      </w:r>
      <w:r w:rsidRPr="004F06F2">
        <w:rPr>
          <w:rFonts w:eastAsia="Calibri" w:cs="Times New Roman"/>
          <w:sz w:val="22"/>
          <w:szCs w:val="22"/>
        </w:rPr>
        <w:t xml:space="preserve">inerales o </w:t>
      </w:r>
      <w:r w:rsidR="00DF554D" w:rsidRPr="004F06F2">
        <w:rPr>
          <w:rFonts w:eastAsia="Calibri" w:cs="Times New Roman"/>
          <w:sz w:val="22"/>
          <w:szCs w:val="22"/>
        </w:rPr>
        <w:t>q</w:t>
      </w:r>
      <w:r w:rsidRPr="004F06F2">
        <w:rPr>
          <w:rFonts w:eastAsia="Calibri" w:cs="Times New Roman"/>
          <w:sz w:val="22"/>
          <w:szCs w:val="22"/>
        </w:rPr>
        <w:t xml:space="preserve">uímicos, con </w:t>
      </w:r>
      <w:r w:rsidR="00DF554D" w:rsidRPr="004F06F2">
        <w:rPr>
          <w:rFonts w:eastAsia="Calibri" w:cs="Times New Roman"/>
          <w:sz w:val="22"/>
          <w:szCs w:val="22"/>
        </w:rPr>
        <w:t>e</w:t>
      </w:r>
      <w:r w:rsidRPr="004F06F2">
        <w:rPr>
          <w:rFonts w:eastAsia="Calibri" w:cs="Times New Roman"/>
          <w:sz w:val="22"/>
          <w:szCs w:val="22"/>
        </w:rPr>
        <w:t>lement</w:t>
      </w:r>
      <w:r w:rsidR="00DF554D" w:rsidRPr="004F06F2">
        <w:rPr>
          <w:rFonts w:eastAsia="Calibri" w:cs="Times New Roman"/>
          <w:sz w:val="22"/>
          <w:szCs w:val="22"/>
        </w:rPr>
        <w:t>os f</w:t>
      </w:r>
      <w:r w:rsidRPr="004F06F2">
        <w:rPr>
          <w:rFonts w:eastAsia="Calibri" w:cs="Times New Roman"/>
          <w:sz w:val="22"/>
          <w:szCs w:val="22"/>
        </w:rPr>
        <w:t>ertilizantes: Nitrógeno, Fósforo y Potasio y Polímeros de Propileno o de otras Olefinas</w:t>
      </w:r>
      <w:r w:rsidR="00DF554D" w:rsidRPr="004F06F2">
        <w:rPr>
          <w:rFonts w:eastAsia="Calibri" w:cs="Times New Roman"/>
          <w:sz w:val="22"/>
          <w:szCs w:val="22"/>
        </w:rPr>
        <w:t>.</w:t>
      </w:r>
    </w:p>
    <w:p w14:paraId="0858738F" w14:textId="320BDD64" w:rsidR="0055109B" w:rsidRPr="004F06F2" w:rsidRDefault="0055109B" w:rsidP="00CD477C">
      <w:pPr>
        <w:rPr>
          <w:rFonts w:eastAsia="Calibri"/>
          <w:sz w:val="22"/>
          <w:szCs w:val="22"/>
        </w:rPr>
      </w:pPr>
    </w:p>
    <w:p w14:paraId="4455ECEC" w14:textId="2653DF36" w:rsidR="0055109B" w:rsidRPr="004F06F2" w:rsidRDefault="0055109B" w:rsidP="00CD477C">
      <w:pPr>
        <w:rPr>
          <w:rFonts w:eastAsia="Calibri" w:cs="Times New Roman"/>
          <w:sz w:val="22"/>
          <w:szCs w:val="22"/>
        </w:rPr>
      </w:pPr>
      <w:r w:rsidRPr="004F06F2">
        <w:rPr>
          <w:rFonts w:eastAsia="Calibri"/>
          <w:sz w:val="22"/>
          <w:szCs w:val="22"/>
        </w:rPr>
        <w:t xml:space="preserve">Los principales destinos de las exportaciones michoacanas </w:t>
      </w:r>
      <w:r w:rsidR="003E2C2C" w:rsidRPr="004F06F2">
        <w:rPr>
          <w:rFonts w:eastAsia="Calibri"/>
          <w:sz w:val="22"/>
          <w:szCs w:val="22"/>
        </w:rPr>
        <w:t>son Estados Unidos,</w:t>
      </w:r>
      <w:r w:rsidR="00923589" w:rsidRPr="004F06F2">
        <w:rPr>
          <w:rFonts w:eastAsia="Calibri"/>
          <w:sz w:val="22"/>
          <w:szCs w:val="22"/>
        </w:rPr>
        <w:t xml:space="preserve"> </w:t>
      </w:r>
      <w:r w:rsidR="003E2C2C" w:rsidRPr="004F06F2">
        <w:rPr>
          <w:rFonts w:eastAsia="Calibri"/>
          <w:sz w:val="22"/>
          <w:szCs w:val="22"/>
        </w:rPr>
        <w:t xml:space="preserve"> España, Japó</w:t>
      </w:r>
      <w:r w:rsidRPr="004F06F2">
        <w:rPr>
          <w:rFonts w:eastAsia="Calibri"/>
          <w:sz w:val="22"/>
          <w:szCs w:val="22"/>
        </w:rPr>
        <w:t>n, India, China, Australia, ente otros.</w:t>
      </w:r>
      <w:r w:rsidRPr="004F06F2">
        <w:rPr>
          <w:rFonts w:eastAsia="Calibri" w:cs="Times New Roman"/>
          <w:sz w:val="22"/>
          <w:szCs w:val="22"/>
        </w:rPr>
        <w:t xml:space="preserve"> </w:t>
      </w:r>
    </w:p>
    <w:p w14:paraId="2F6EFE81" w14:textId="77777777" w:rsidR="0055109B" w:rsidRPr="004F06F2" w:rsidRDefault="0055109B" w:rsidP="00CD477C">
      <w:pPr>
        <w:rPr>
          <w:rFonts w:eastAsia="Calibri" w:cs="Times New Roman"/>
          <w:sz w:val="22"/>
          <w:szCs w:val="22"/>
        </w:rPr>
      </w:pPr>
    </w:p>
    <w:p w14:paraId="5026712E" w14:textId="77777777" w:rsidR="0055109B" w:rsidRPr="004F06F2" w:rsidRDefault="0055109B" w:rsidP="00CD477C">
      <w:pPr>
        <w:rPr>
          <w:rFonts w:eastAsia="Calibri" w:cs="Times New Roman"/>
          <w:sz w:val="22"/>
          <w:szCs w:val="22"/>
        </w:rPr>
      </w:pPr>
      <w:r w:rsidRPr="004F06F2">
        <w:rPr>
          <w:rFonts w:eastAsia="Calibri" w:cs="Times New Roman"/>
          <w:sz w:val="22"/>
          <w:szCs w:val="22"/>
        </w:rPr>
        <w:t>Así pues, el Gobierno del Estado de Michoacán ha impulsado la actividad económica y financiera, permitiendo que las condiciones de crecimiento favorables del país, permee en una mejor economía en materia de empleo, inversión y exportaciones de los sectores económicos del Estado.</w:t>
      </w:r>
    </w:p>
    <w:p w14:paraId="6DD0D523" w14:textId="77777777" w:rsidR="0055109B" w:rsidRPr="004F06F2" w:rsidRDefault="0055109B" w:rsidP="00CD477C">
      <w:pPr>
        <w:spacing w:before="0" w:after="0"/>
        <w:rPr>
          <w:rFonts w:eastAsia="Calibri" w:cs="Times New Roman"/>
          <w:sz w:val="22"/>
          <w:szCs w:val="22"/>
        </w:rPr>
      </w:pPr>
    </w:p>
    <w:p w14:paraId="7F8DA156" w14:textId="77777777" w:rsidR="0055109B" w:rsidRPr="004F06F2" w:rsidRDefault="0055109B" w:rsidP="00CD477C">
      <w:pPr>
        <w:spacing w:before="0" w:after="0"/>
        <w:rPr>
          <w:rFonts w:eastAsia="Calibri" w:cs="Times New Roman"/>
          <w:sz w:val="22"/>
          <w:szCs w:val="22"/>
        </w:rPr>
      </w:pPr>
      <w:r w:rsidRPr="004F06F2">
        <w:rPr>
          <w:rFonts w:eastAsia="Calibri" w:cs="Times New Roman"/>
          <w:sz w:val="22"/>
          <w:szCs w:val="22"/>
        </w:rPr>
        <w:t>En el mismo sentido, y en un afán de mantener finanzas públicas sanas, se logró una refinanciación de la deuda con condiciones más favorables para el pago, lo que permite atender acciones prioritarias y cumplir con todas las obligaciones contraídas.</w:t>
      </w:r>
    </w:p>
    <w:p w14:paraId="65A0C0D2" w14:textId="77777777" w:rsidR="0055109B" w:rsidRPr="004F06F2" w:rsidRDefault="0055109B" w:rsidP="00CD477C">
      <w:pPr>
        <w:spacing w:before="0" w:after="0"/>
        <w:rPr>
          <w:rFonts w:eastAsia="Calibri" w:cs="Times New Roman"/>
          <w:sz w:val="22"/>
          <w:szCs w:val="22"/>
        </w:rPr>
      </w:pPr>
    </w:p>
    <w:p w14:paraId="7B0D4583" w14:textId="6207572B" w:rsidR="00BD4F6A" w:rsidRPr="004F06F2" w:rsidRDefault="000C16C6" w:rsidP="00CD477C">
      <w:pPr>
        <w:spacing w:before="0" w:after="0"/>
        <w:rPr>
          <w:rFonts w:eastAsia="Calibri" w:cs="Times New Roman"/>
          <w:b/>
          <w:sz w:val="22"/>
          <w:szCs w:val="22"/>
        </w:rPr>
      </w:pPr>
      <w:r w:rsidRPr="004F06F2">
        <w:rPr>
          <w:rFonts w:eastAsia="Calibri" w:cs="Times New Roman"/>
          <w:b/>
          <w:sz w:val="22"/>
          <w:szCs w:val="22"/>
        </w:rPr>
        <w:t>3</w:t>
      </w:r>
      <w:r w:rsidR="00BD4F6A" w:rsidRPr="004F06F2">
        <w:rPr>
          <w:rFonts w:eastAsia="Calibri" w:cs="Times New Roman"/>
          <w:b/>
          <w:sz w:val="22"/>
          <w:szCs w:val="22"/>
        </w:rPr>
        <w:t>.</w:t>
      </w:r>
      <w:r w:rsidR="00BD4F6A" w:rsidRPr="004F06F2">
        <w:rPr>
          <w:rFonts w:eastAsia="Calibri" w:cs="Times New Roman"/>
          <w:b/>
          <w:sz w:val="22"/>
          <w:szCs w:val="22"/>
        </w:rPr>
        <w:tab/>
        <w:t>Organización y Objeto Social</w:t>
      </w:r>
    </w:p>
    <w:p w14:paraId="63C58D38" w14:textId="77777777" w:rsidR="00C77631" w:rsidRPr="004F06F2" w:rsidRDefault="00C77631" w:rsidP="00CD477C">
      <w:pPr>
        <w:spacing w:before="0" w:after="0"/>
        <w:rPr>
          <w:rFonts w:eastAsia="Calibri" w:cs="Times New Roman"/>
          <w:sz w:val="22"/>
          <w:szCs w:val="22"/>
        </w:rPr>
      </w:pPr>
    </w:p>
    <w:p w14:paraId="4730A71B" w14:textId="1CBEEE38" w:rsidR="00BD4F6A" w:rsidRPr="004F06F2" w:rsidRDefault="00BD4F6A" w:rsidP="00CD477C">
      <w:pPr>
        <w:spacing w:before="0" w:after="0"/>
        <w:rPr>
          <w:rFonts w:eastAsia="Calibri" w:cs="Times New Roman"/>
          <w:sz w:val="22"/>
          <w:szCs w:val="22"/>
        </w:rPr>
      </w:pPr>
      <w:r w:rsidRPr="004F06F2">
        <w:rPr>
          <w:rFonts w:eastAsia="Calibri" w:cs="Times New Roman"/>
          <w:sz w:val="22"/>
          <w:szCs w:val="22"/>
        </w:rPr>
        <w:t>Se informa sobre:</w:t>
      </w:r>
    </w:p>
    <w:p w14:paraId="64DC1924" w14:textId="77777777" w:rsidR="00C77631" w:rsidRPr="004F06F2" w:rsidRDefault="00C77631" w:rsidP="00CD477C">
      <w:pPr>
        <w:spacing w:before="0" w:after="0"/>
        <w:ind w:firstLine="360"/>
        <w:rPr>
          <w:rFonts w:eastAsia="Calibri" w:cs="Times New Roman"/>
          <w:b/>
          <w:bCs/>
          <w:sz w:val="22"/>
          <w:szCs w:val="22"/>
        </w:rPr>
      </w:pPr>
    </w:p>
    <w:p w14:paraId="30879299" w14:textId="1B45EE85" w:rsidR="00BD4F6A" w:rsidRPr="004F06F2" w:rsidRDefault="00BD4F6A" w:rsidP="00CD477C">
      <w:pPr>
        <w:spacing w:before="0" w:after="0"/>
        <w:ind w:firstLine="360"/>
        <w:rPr>
          <w:rFonts w:eastAsia="Calibri" w:cs="Times New Roman"/>
          <w:b/>
          <w:bCs/>
          <w:sz w:val="22"/>
          <w:szCs w:val="22"/>
        </w:rPr>
      </w:pPr>
      <w:r w:rsidRPr="004F06F2">
        <w:rPr>
          <w:rFonts w:eastAsia="Calibri" w:cs="Times New Roman"/>
          <w:b/>
          <w:bCs/>
          <w:sz w:val="22"/>
          <w:szCs w:val="22"/>
        </w:rPr>
        <w:t>a) Objeto Social</w:t>
      </w:r>
    </w:p>
    <w:p w14:paraId="7C9C8C4A" w14:textId="77777777" w:rsidR="00C77631" w:rsidRPr="004F06F2" w:rsidRDefault="00C77631" w:rsidP="00CD477C">
      <w:pPr>
        <w:spacing w:before="0" w:after="0"/>
        <w:rPr>
          <w:rFonts w:eastAsia="Calibri" w:cs="Times New Roman"/>
          <w:sz w:val="22"/>
          <w:szCs w:val="22"/>
        </w:rPr>
      </w:pPr>
    </w:p>
    <w:p w14:paraId="5C0FBE9D" w14:textId="6ABD5616" w:rsidR="00BD4F6A" w:rsidRPr="004F06F2" w:rsidRDefault="00BD4F6A" w:rsidP="00CD477C">
      <w:pPr>
        <w:spacing w:before="0" w:after="0"/>
        <w:rPr>
          <w:rFonts w:eastAsia="Calibri" w:cs="Times New Roman"/>
          <w:sz w:val="22"/>
          <w:szCs w:val="22"/>
        </w:rPr>
      </w:pPr>
      <w:r w:rsidRPr="004F06F2">
        <w:rPr>
          <w:rFonts w:eastAsia="Calibri" w:cs="Times New Roman"/>
          <w:sz w:val="22"/>
          <w:szCs w:val="22"/>
        </w:rPr>
        <w:t>El Gobierno de Michoacán tiene como objetivo y meta la de coadyuvar en la generación del bienestar de las personas en el Estado de Michoacán de Ocampo, con particular atención a los grupos históricamente vulnerados, considerando las diferencias, por edad, sexo, orientación sexual, discapacidad, etnias y vulnerabilidad económica y cualquier otra forma de vulnerabilidad; a fin de promover condiciones que permitan aumentar su grado de inclusión y equidad en la sociedad a través del diseño y ejecución de programas para el bienestar.</w:t>
      </w:r>
    </w:p>
    <w:p w14:paraId="63106E5D" w14:textId="77777777" w:rsidR="00BD4F6A" w:rsidRPr="004F06F2" w:rsidRDefault="00BD4F6A" w:rsidP="00CD477C">
      <w:pPr>
        <w:spacing w:before="0" w:after="0"/>
        <w:rPr>
          <w:rFonts w:eastAsia="Calibri" w:cs="Times New Roman"/>
          <w:sz w:val="22"/>
          <w:szCs w:val="22"/>
        </w:rPr>
      </w:pPr>
    </w:p>
    <w:p w14:paraId="0866E41E" w14:textId="4151DE1E" w:rsidR="00BD4F6A" w:rsidRPr="004F06F2" w:rsidRDefault="00BD4F6A" w:rsidP="00CD477C">
      <w:pPr>
        <w:spacing w:before="0" w:after="0"/>
        <w:rPr>
          <w:rFonts w:eastAsia="Calibri" w:cs="Times New Roman"/>
          <w:sz w:val="22"/>
          <w:szCs w:val="22"/>
        </w:rPr>
      </w:pPr>
      <w:r w:rsidRPr="004F06F2">
        <w:rPr>
          <w:rFonts w:eastAsia="Calibri" w:cs="Times New Roman"/>
          <w:sz w:val="22"/>
          <w:szCs w:val="22"/>
        </w:rPr>
        <w:lastRenderedPageBreak/>
        <w:t>Lo anterior con la visión de consolidar al Gobierno de Michoacán como un gobierno donde el bienestar de su población sea el eje rector de las políticas y programas públicos, a fin de que todas las personas y en especial los grupos históricamente vulnerados, puedan ejercer y acceder de manera efectiva y directa a sus derechos.</w:t>
      </w:r>
    </w:p>
    <w:p w14:paraId="6E4A0FD0" w14:textId="2D3888E0" w:rsidR="00BD4F6A" w:rsidRPr="004F06F2" w:rsidRDefault="00BD4F6A" w:rsidP="00CD477C">
      <w:pPr>
        <w:spacing w:before="0" w:after="0"/>
        <w:ind w:firstLine="360"/>
        <w:rPr>
          <w:rFonts w:eastAsia="Calibri" w:cs="Times New Roman"/>
          <w:b/>
          <w:bCs/>
          <w:sz w:val="22"/>
          <w:szCs w:val="22"/>
        </w:rPr>
      </w:pPr>
    </w:p>
    <w:p w14:paraId="2A4D9241" w14:textId="2CC783FF" w:rsidR="00BD4F6A" w:rsidRPr="004F06F2" w:rsidRDefault="00BD4F6A" w:rsidP="00CD477C">
      <w:pPr>
        <w:spacing w:before="0" w:after="0"/>
        <w:ind w:firstLine="360"/>
        <w:rPr>
          <w:rFonts w:eastAsia="Calibri" w:cs="Times New Roman"/>
          <w:b/>
          <w:bCs/>
          <w:sz w:val="22"/>
          <w:szCs w:val="22"/>
        </w:rPr>
      </w:pPr>
      <w:r w:rsidRPr="004F06F2">
        <w:rPr>
          <w:rFonts w:eastAsia="Calibri" w:cs="Times New Roman"/>
          <w:b/>
          <w:bCs/>
          <w:sz w:val="22"/>
          <w:szCs w:val="22"/>
        </w:rPr>
        <w:t>b)  Principal Actividad:</w:t>
      </w:r>
    </w:p>
    <w:p w14:paraId="7CF08C78" w14:textId="77777777" w:rsidR="00BD4F6A" w:rsidRPr="004F06F2" w:rsidRDefault="00BD4F6A" w:rsidP="00CD477C">
      <w:pPr>
        <w:pStyle w:val="Prrafodelista"/>
        <w:spacing w:line="360" w:lineRule="auto"/>
        <w:ind w:left="765"/>
        <w:rPr>
          <w:rFonts w:ascii="GalanoGrotesque-ExtraLight" w:eastAsia="Calibri" w:hAnsi="GalanoGrotesque-ExtraLight"/>
          <w:b/>
          <w:sz w:val="22"/>
          <w:szCs w:val="22"/>
          <w:lang w:val="es-MX"/>
        </w:rPr>
      </w:pPr>
    </w:p>
    <w:p w14:paraId="3349D506" w14:textId="77777777" w:rsidR="00BD4F6A" w:rsidRPr="004F06F2" w:rsidRDefault="00BD4F6A" w:rsidP="00CD477C">
      <w:pPr>
        <w:rPr>
          <w:rFonts w:eastAsia="Calibri" w:cs="Times New Roman"/>
          <w:sz w:val="22"/>
          <w:szCs w:val="22"/>
        </w:rPr>
      </w:pPr>
      <w:r w:rsidRPr="004F06F2">
        <w:rPr>
          <w:rFonts w:eastAsia="Calibri" w:cs="Times New Roman"/>
          <w:sz w:val="22"/>
          <w:szCs w:val="22"/>
        </w:rPr>
        <w:t>Administrar con calidad y eficiencia el sistema de ingresos, el ejercicio del gasto y la deuda pública, aplicando correcta y equitativamente las leyes y normas vigentes y contribuyendo el desarrollo económico del Estado.</w:t>
      </w:r>
    </w:p>
    <w:p w14:paraId="7805091E" w14:textId="77777777" w:rsidR="00D75F85" w:rsidRPr="004F06F2" w:rsidRDefault="00D75F85" w:rsidP="00CD477C">
      <w:pPr>
        <w:spacing w:before="0" w:after="0"/>
        <w:ind w:firstLine="360"/>
        <w:rPr>
          <w:rFonts w:eastAsia="Calibri" w:cs="Times New Roman"/>
          <w:b/>
          <w:bCs/>
          <w:sz w:val="22"/>
          <w:szCs w:val="22"/>
        </w:rPr>
      </w:pPr>
    </w:p>
    <w:p w14:paraId="327E23B8" w14:textId="2D74E1BE" w:rsidR="00BD4F6A" w:rsidRPr="004F06F2" w:rsidRDefault="00BD4F6A" w:rsidP="00CD477C">
      <w:pPr>
        <w:spacing w:before="0" w:after="0"/>
        <w:ind w:firstLine="360"/>
        <w:rPr>
          <w:rFonts w:eastAsia="Calibri" w:cs="Times New Roman"/>
          <w:b/>
          <w:bCs/>
          <w:sz w:val="22"/>
          <w:szCs w:val="22"/>
        </w:rPr>
      </w:pPr>
      <w:r w:rsidRPr="004F06F2">
        <w:rPr>
          <w:rFonts w:eastAsia="Calibri" w:cs="Times New Roman"/>
          <w:b/>
          <w:bCs/>
          <w:sz w:val="22"/>
          <w:szCs w:val="22"/>
        </w:rPr>
        <w:t>c) Ejercicio Fiscal</w:t>
      </w:r>
    </w:p>
    <w:p w14:paraId="2C2D09D6" w14:textId="61C92B33" w:rsidR="00BD4F6A" w:rsidRPr="004F06F2" w:rsidRDefault="00BD4F6A" w:rsidP="00CD477C">
      <w:pPr>
        <w:rPr>
          <w:rFonts w:eastAsia="Calibri" w:cs="Times New Roman"/>
          <w:sz w:val="22"/>
          <w:szCs w:val="22"/>
        </w:rPr>
      </w:pPr>
      <w:r w:rsidRPr="004F06F2">
        <w:rPr>
          <w:rFonts w:eastAsia="Calibri" w:cs="Times New Roman"/>
          <w:sz w:val="22"/>
          <w:szCs w:val="22"/>
        </w:rPr>
        <w:t xml:space="preserve">Se informa </w:t>
      </w:r>
      <w:r w:rsidR="003E2C2C" w:rsidRPr="004F06F2">
        <w:rPr>
          <w:rFonts w:eastAsia="Calibri" w:cs="Times New Roman"/>
          <w:sz w:val="22"/>
          <w:szCs w:val="22"/>
        </w:rPr>
        <w:t xml:space="preserve">el periodo del </w:t>
      </w:r>
      <w:r w:rsidRPr="004F06F2">
        <w:rPr>
          <w:rFonts w:eastAsia="Calibri" w:cs="Times New Roman"/>
          <w:sz w:val="22"/>
          <w:szCs w:val="22"/>
        </w:rPr>
        <w:t xml:space="preserve">1 de enero al </w:t>
      </w:r>
      <w:r w:rsidR="00053575" w:rsidRPr="004F06F2">
        <w:rPr>
          <w:rFonts w:eastAsia="Calibri" w:cs="Times New Roman"/>
          <w:sz w:val="22"/>
          <w:szCs w:val="22"/>
        </w:rPr>
        <w:t xml:space="preserve">31 de </w:t>
      </w:r>
      <w:r w:rsidR="00E072C4" w:rsidRPr="004F06F2">
        <w:rPr>
          <w:rFonts w:eastAsia="Calibri" w:cs="Times New Roman"/>
          <w:sz w:val="22"/>
          <w:szCs w:val="22"/>
        </w:rPr>
        <w:t>marzo</w:t>
      </w:r>
      <w:r w:rsidRPr="004F06F2">
        <w:rPr>
          <w:rFonts w:eastAsia="Calibri" w:cs="Times New Roman"/>
          <w:sz w:val="22"/>
          <w:szCs w:val="22"/>
        </w:rPr>
        <w:t xml:space="preserve"> de 202</w:t>
      </w:r>
      <w:r w:rsidR="00DD6C98" w:rsidRPr="004F06F2">
        <w:rPr>
          <w:rFonts w:eastAsia="Calibri" w:cs="Times New Roman"/>
          <w:sz w:val="22"/>
          <w:szCs w:val="22"/>
        </w:rPr>
        <w:t>4</w:t>
      </w:r>
      <w:r w:rsidRPr="004F06F2">
        <w:rPr>
          <w:rFonts w:eastAsia="Calibri" w:cs="Times New Roman"/>
          <w:sz w:val="22"/>
          <w:szCs w:val="22"/>
        </w:rPr>
        <w:t>.</w:t>
      </w:r>
    </w:p>
    <w:p w14:paraId="76F7E4A4" w14:textId="77777777" w:rsidR="007110B4" w:rsidRPr="004F06F2" w:rsidRDefault="007110B4" w:rsidP="00CD477C">
      <w:pPr>
        <w:spacing w:before="0" w:after="0"/>
        <w:ind w:firstLine="360"/>
        <w:rPr>
          <w:rFonts w:eastAsia="Calibri" w:cs="Times New Roman"/>
          <w:b/>
          <w:bCs/>
          <w:sz w:val="22"/>
          <w:szCs w:val="22"/>
        </w:rPr>
      </w:pPr>
    </w:p>
    <w:p w14:paraId="56DF0EDD" w14:textId="4A70E069" w:rsidR="00BD4F6A" w:rsidRPr="004F06F2" w:rsidRDefault="00BD4F6A" w:rsidP="00CD477C">
      <w:pPr>
        <w:spacing w:before="0" w:after="0"/>
        <w:ind w:firstLine="360"/>
        <w:rPr>
          <w:rFonts w:eastAsia="Calibri" w:cs="Times New Roman"/>
          <w:b/>
          <w:bCs/>
          <w:sz w:val="22"/>
          <w:szCs w:val="22"/>
        </w:rPr>
      </w:pPr>
      <w:r w:rsidRPr="004F06F2">
        <w:rPr>
          <w:rFonts w:eastAsia="Calibri" w:cs="Times New Roman"/>
          <w:b/>
          <w:bCs/>
          <w:sz w:val="22"/>
          <w:szCs w:val="22"/>
        </w:rPr>
        <w:t>d) Régimen Jurídico</w:t>
      </w:r>
    </w:p>
    <w:p w14:paraId="7D8B2B99" w14:textId="77777777" w:rsidR="00E072C4" w:rsidRPr="004F06F2" w:rsidRDefault="00E072C4" w:rsidP="00CD477C">
      <w:pPr>
        <w:spacing w:before="0" w:after="0"/>
        <w:ind w:firstLine="360"/>
        <w:rPr>
          <w:rFonts w:eastAsia="Calibri" w:cs="Times New Roman"/>
          <w:b/>
          <w:bCs/>
          <w:sz w:val="22"/>
          <w:szCs w:val="22"/>
        </w:rPr>
      </w:pPr>
    </w:p>
    <w:p w14:paraId="22549011" w14:textId="77777777" w:rsidR="00BD4F6A" w:rsidRPr="004F06F2" w:rsidRDefault="00BD4F6A" w:rsidP="00CD477C">
      <w:pPr>
        <w:spacing w:before="0" w:after="0"/>
        <w:rPr>
          <w:rFonts w:eastAsia="Calibri" w:cs="Times New Roman"/>
          <w:sz w:val="22"/>
          <w:szCs w:val="22"/>
        </w:rPr>
      </w:pPr>
      <w:r w:rsidRPr="004F06F2">
        <w:rPr>
          <w:rFonts w:eastAsia="Calibri" w:cs="Times New Roman"/>
          <w:sz w:val="22"/>
          <w:szCs w:val="22"/>
        </w:rPr>
        <w:t xml:space="preserve">El Estado de Michoacán es un estado independiente, libre y soberano, en lo que exclusivamente toque a su administración y gobierno interior, que forma parte de la Federación de Estados Independientes denominados Estados Unidos Mexicanos </w:t>
      </w:r>
      <w:r w:rsidRPr="004F06F2">
        <w:rPr>
          <w:sz w:val="22"/>
          <w:szCs w:val="22"/>
        </w:rPr>
        <w:t xml:space="preserve">y está constituido por la porción de territorio nacional que le reconozcan la Constitución Federal, las leyes y los convenios. </w:t>
      </w:r>
    </w:p>
    <w:p w14:paraId="21279B45" w14:textId="77777777" w:rsidR="00BD4F6A" w:rsidRPr="004F06F2" w:rsidRDefault="00BD4F6A" w:rsidP="00CD477C">
      <w:pPr>
        <w:spacing w:before="0" w:after="0"/>
        <w:rPr>
          <w:sz w:val="22"/>
          <w:szCs w:val="22"/>
        </w:rPr>
      </w:pPr>
    </w:p>
    <w:p w14:paraId="077C574C" w14:textId="7977F47C" w:rsidR="00BD4F6A" w:rsidRPr="004F06F2" w:rsidRDefault="00BD4F6A" w:rsidP="00CD477C">
      <w:pPr>
        <w:spacing w:before="0" w:after="0"/>
        <w:rPr>
          <w:sz w:val="22"/>
          <w:szCs w:val="22"/>
        </w:rPr>
      </w:pPr>
      <w:r w:rsidRPr="004F06F2">
        <w:rPr>
          <w:sz w:val="22"/>
          <w:szCs w:val="22"/>
        </w:rPr>
        <w:t>El Poder Público del Estado se divide para su ejercicio en Ejecutivo</w:t>
      </w:r>
      <w:r w:rsidR="00312609" w:rsidRPr="004F06F2">
        <w:rPr>
          <w:sz w:val="22"/>
          <w:szCs w:val="22"/>
        </w:rPr>
        <w:t>, Legislativo</w:t>
      </w:r>
      <w:r w:rsidRPr="004F06F2">
        <w:rPr>
          <w:sz w:val="22"/>
          <w:szCs w:val="22"/>
        </w:rPr>
        <w:t xml:space="preserve"> y Judicial, los cuales actuarán separada y libremente, pero cooperando, en forma armónica, a la realización de los fines del Estado.</w:t>
      </w:r>
    </w:p>
    <w:p w14:paraId="482DBF0C" w14:textId="77777777" w:rsidR="00BD4F6A" w:rsidRPr="004F06F2" w:rsidRDefault="00BD4F6A" w:rsidP="00CD477C">
      <w:pPr>
        <w:spacing w:before="0" w:after="0"/>
        <w:rPr>
          <w:sz w:val="22"/>
          <w:szCs w:val="22"/>
        </w:rPr>
      </w:pPr>
    </w:p>
    <w:p w14:paraId="1E07114B" w14:textId="77777777" w:rsidR="00BD4F6A" w:rsidRPr="004F06F2" w:rsidRDefault="00BD4F6A" w:rsidP="00CD477C">
      <w:pPr>
        <w:spacing w:before="0" w:after="0"/>
        <w:rPr>
          <w:sz w:val="22"/>
          <w:szCs w:val="22"/>
        </w:rPr>
      </w:pPr>
      <w:r w:rsidRPr="004F06F2">
        <w:rPr>
          <w:sz w:val="22"/>
          <w:szCs w:val="22"/>
        </w:rPr>
        <w:t>Se deposita el ejercicio del Poder Legislativo en una asamblea que se denominará: Congreso del Estado de Michoacán de Ocampo.</w:t>
      </w:r>
    </w:p>
    <w:p w14:paraId="102F2D3C" w14:textId="77777777" w:rsidR="00BD4F6A" w:rsidRPr="004F06F2" w:rsidRDefault="00BD4F6A" w:rsidP="00CD477C">
      <w:pPr>
        <w:spacing w:before="0" w:after="0"/>
        <w:rPr>
          <w:rFonts w:eastAsia="Calibri" w:cs="Times New Roman"/>
          <w:sz w:val="22"/>
          <w:szCs w:val="22"/>
        </w:rPr>
      </w:pPr>
    </w:p>
    <w:p w14:paraId="04C2D4CB" w14:textId="77777777" w:rsidR="00214D48" w:rsidRDefault="00214D48" w:rsidP="00CD477C">
      <w:pPr>
        <w:spacing w:before="0" w:after="0"/>
        <w:ind w:firstLine="360"/>
        <w:rPr>
          <w:rFonts w:eastAsia="Calibri" w:cs="Times New Roman"/>
          <w:b/>
          <w:bCs/>
          <w:sz w:val="22"/>
          <w:szCs w:val="22"/>
        </w:rPr>
      </w:pPr>
    </w:p>
    <w:p w14:paraId="416A149C" w14:textId="77777777" w:rsidR="00214D48" w:rsidRDefault="00214D48" w:rsidP="00CD477C">
      <w:pPr>
        <w:spacing w:before="0" w:after="0"/>
        <w:ind w:firstLine="360"/>
        <w:rPr>
          <w:rFonts w:eastAsia="Calibri" w:cs="Times New Roman"/>
          <w:b/>
          <w:bCs/>
          <w:sz w:val="22"/>
          <w:szCs w:val="22"/>
        </w:rPr>
      </w:pPr>
    </w:p>
    <w:p w14:paraId="1DA58C9A" w14:textId="77777777" w:rsidR="00214D48" w:rsidRDefault="00214D48" w:rsidP="00CD477C">
      <w:pPr>
        <w:spacing w:before="0" w:after="0"/>
        <w:ind w:firstLine="360"/>
        <w:rPr>
          <w:rFonts w:eastAsia="Calibri" w:cs="Times New Roman"/>
          <w:b/>
          <w:bCs/>
          <w:sz w:val="22"/>
          <w:szCs w:val="22"/>
        </w:rPr>
      </w:pPr>
    </w:p>
    <w:p w14:paraId="48BB177F" w14:textId="61E449B1" w:rsidR="00BD4F6A" w:rsidRPr="004F06F2" w:rsidRDefault="00BD4F6A" w:rsidP="00CD477C">
      <w:pPr>
        <w:spacing w:before="0" w:after="0"/>
        <w:ind w:firstLine="360"/>
        <w:rPr>
          <w:rFonts w:eastAsia="Calibri" w:cs="Times New Roman"/>
          <w:b/>
          <w:bCs/>
          <w:sz w:val="22"/>
          <w:szCs w:val="22"/>
        </w:rPr>
      </w:pPr>
      <w:r w:rsidRPr="004F06F2">
        <w:rPr>
          <w:rFonts w:eastAsia="Calibri" w:cs="Times New Roman"/>
          <w:b/>
          <w:bCs/>
          <w:sz w:val="22"/>
          <w:szCs w:val="22"/>
        </w:rPr>
        <w:lastRenderedPageBreak/>
        <w:t>e). Consideraciones fiscales del ente: revelar el tipo de contribuciones que esté obligado a pagar o retener.</w:t>
      </w:r>
    </w:p>
    <w:p w14:paraId="4C813230" w14:textId="77777777" w:rsidR="00BD4F6A" w:rsidRPr="004F06F2" w:rsidRDefault="00BD4F6A" w:rsidP="00CD477C">
      <w:pPr>
        <w:spacing w:before="0" w:after="0"/>
        <w:rPr>
          <w:rFonts w:eastAsia="Calibri" w:cs="Times New Roman"/>
          <w:sz w:val="22"/>
          <w:szCs w:val="22"/>
        </w:rPr>
      </w:pPr>
    </w:p>
    <w:p w14:paraId="136F271E" w14:textId="4C1EB18B" w:rsidR="00BD4F6A" w:rsidRPr="004F06F2" w:rsidRDefault="00BD4F6A" w:rsidP="00CD477C">
      <w:pPr>
        <w:spacing w:before="0" w:after="0"/>
        <w:rPr>
          <w:rFonts w:eastAsia="Calibri" w:cs="Times New Roman"/>
          <w:sz w:val="22"/>
          <w:szCs w:val="22"/>
        </w:rPr>
      </w:pPr>
      <w:r w:rsidRPr="004F06F2">
        <w:rPr>
          <w:rFonts w:eastAsia="Calibri" w:cs="Times New Roman"/>
          <w:sz w:val="22"/>
          <w:szCs w:val="22"/>
        </w:rPr>
        <w:t>Por lo que se refiere a las obligaciones fiscales federales que tiene el Gobierno del Estado, respecto del Impuesto sobre la Renta, le dan el carácter de retenedor y está obligado a enterar dicho Impuesto en lo referente a los Capítulos I, II y III del Título IV de la Ley de la materia, relativos a: Ingresos por Salarios, Ingresos por Actividades Empresariales y Profesionales</w:t>
      </w:r>
      <w:r w:rsidR="00BE151C" w:rsidRPr="004F06F2">
        <w:rPr>
          <w:rFonts w:eastAsia="Calibri" w:cs="Times New Roman"/>
          <w:sz w:val="22"/>
          <w:szCs w:val="22"/>
        </w:rPr>
        <w:t>, Régimen Simplificado de Confianza</w:t>
      </w:r>
      <w:r w:rsidRPr="004F06F2">
        <w:rPr>
          <w:rFonts w:eastAsia="Calibri" w:cs="Times New Roman"/>
          <w:sz w:val="22"/>
          <w:szCs w:val="22"/>
        </w:rPr>
        <w:t xml:space="preserve"> e Ingresos por Arrendamiento de Bienes Inmuebles y en General por Otorgar el Uso o Goce Temporal de Bienes Inmuebles, respectivamente.</w:t>
      </w:r>
    </w:p>
    <w:p w14:paraId="2A3C6EE9" w14:textId="77777777" w:rsidR="00BD4F6A" w:rsidRPr="004F06F2" w:rsidRDefault="00BD4F6A" w:rsidP="00CD477C">
      <w:pPr>
        <w:spacing w:before="0" w:after="0"/>
        <w:ind w:left="709"/>
        <w:rPr>
          <w:rFonts w:eastAsia="Calibri" w:cs="Times New Roman"/>
          <w:sz w:val="22"/>
          <w:szCs w:val="22"/>
        </w:rPr>
      </w:pPr>
    </w:p>
    <w:p w14:paraId="6B779F48" w14:textId="77777777" w:rsidR="00BD4F6A" w:rsidRPr="004F06F2" w:rsidRDefault="00BD4F6A" w:rsidP="00CD477C">
      <w:pPr>
        <w:spacing w:before="0" w:after="0"/>
        <w:rPr>
          <w:rFonts w:eastAsia="Calibri" w:cs="Times New Roman"/>
          <w:sz w:val="22"/>
          <w:szCs w:val="22"/>
        </w:rPr>
      </w:pPr>
      <w:r w:rsidRPr="004F06F2">
        <w:rPr>
          <w:rFonts w:eastAsia="Calibri" w:cs="Times New Roman"/>
          <w:sz w:val="22"/>
          <w:szCs w:val="22"/>
        </w:rPr>
        <w:t>El Gobierno del Estado Libre y Soberano de Michoacán de Ocampo, es sujeto indirecto del Impuesto al Valor Agregado, es decir, está obligado a aceptar la traslación de dicho impuesto en la adquisición de bienes y servicios, considerándolo como parte integrante del costo y registrándolo como gasto o inversión según corresponda.</w:t>
      </w:r>
    </w:p>
    <w:p w14:paraId="672687A9" w14:textId="77777777" w:rsidR="00BD4F6A" w:rsidRPr="004F06F2" w:rsidRDefault="00BD4F6A" w:rsidP="00CD477C">
      <w:pPr>
        <w:spacing w:before="0" w:after="0"/>
        <w:rPr>
          <w:rFonts w:eastAsia="Calibri" w:cs="Times New Roman"/>
          <w:sz w:val="22"/>
          <w:szCs w:val="22"/>
        </w:rPr>
      </w:pPr>
    </w:p>
    <w:p w14:paraId="4C2F5DFF" w14:textId="77777777" w:rsidR="00BD4F6A" w:rsidRPr="004F06F2" w:rsidRDefault="00BD4F6A" w:rsidP="00CD477C">
      <w:pPr>
        <w:spacing w:before="0" w:after="0"/>
        <w:rPr>
          <w:rFonts w:eastAsia="Calibri" w:cs="Times New Roman"/>
          <w:sz w:val="22"/>
          <w:szCs w:val="22"/>
        </w:rPr>
      </w:pPr>
      <w:r w:rsidRPr="004F06F2">
        <w:rPr>
          <w:rFonts w:eastAsia="Calibri" w:cs="Times New Roman"/>
          <w:sz w:val="22"/>
          <w:szCs w:val="22"/>
        </w:rPr>
        <w:t>Así mismo, el Estado es sujeto de las Contribuciones de Seguridad Social, con motivo de la relación laboral que mantiene con los trabajadores a su servicio, tanto a favor del Instituto Mexicano del Seguro Social,</w:t>
      </w:r>
      <w:r w:rsidRPr="004F06F2">
        <w:t xml:space="preserve"> </w:t>
      </w:r>
      <w:r w:rsidRPr="004F06F2">
        <w:rPr>
          <w:rFonts w:eastAsia="Calibri" w:cs="Times New Roman"/>
          <w:sz w:val="22"/>
          <w:szCs w:val="22"/>
        </w:rPr>
        <w:t>la Dirección de Pensiones Civiles del Estado, como del Instituto de Seguridad y Servicios Sociales de los Trabajadores del Estado, conforme a las disposiciones legales aplicables y los convenios respectivos.</w:t>
      </w:r>
    </w:p>
    <w:p w14:paraId="5035E64A" w14:textId="77777777" w:rsidR="00BD4F6A" w:rsidRPr="004F06F2" w:rsidRDefault="00BD4F6A" w:rsidP="00CD477C">
      <w:pPr>
        <w:spacing w:before="0" w:after="0"/>
        <w:rPr>
          <w:rFonts w:eastAsia="Calibri" w:cs="Times New Roman"/>
          <w:sz w:val="22"/>
          <w:szCs w:val="22"/>
        </w:rPr>
      </w:pPr>
    </w:p>
    <w:p w14:paraId="3ED078E1" w14:textId="2B0D70DB" w:rsidR="00BD4F6A" w:rsidRPr="004F06F2" w:rsidRDefault="00BD4F6A" w:rsidP="00CD477C">
      <w:pPr>
        <w:spacing w:before="0" w:after="0"/>
        <w:rPr>
          <w:rFonts w:eastAsia="Calibri" w:cs="Times New Roman"/>
          <w:sz w:val="22"/>
          <w:szCs w:val="22"/>
        </w:rPr>
      </w:pPr>
      <w:r w:rsidRPr="004F06F2">
        <w:rPr>
          <w:rFonts w:eastAsia="Calibri" w:cs="Times New Roman"/>
          <w:sz w:val="22"/>
          <w:szCs w:val="22"/>
        </w:rPr>
        <w:t xml:space="preserve">Igualmente, es sujeto de diversas contribuciones </w:t>
      </w:r>
      <w:r w:rsidR="006F54BE" w:rsidRPr="004F06F2">
        <w:rPr>
          <w:rFonts w:eastAsia="Calibri" w:cs="Times New Roman"/>
          <w:sz w:val="22"/>
          <w:szCs w:val="22"/>
        </w:rPr>
        <w:t>locales</w:t>
      </w:r>
      <w:r w:rsidRPr="004F06F2">
        <w:rPr>
          <w:rFonts w:eastAsia="Calibri" w:cs="Times New Roman"/>
          <w:sz w:val="22"/>
          <w:szCs w:val="22"/>
        </w:rPr>
        <w:t xml:space="preserve">, tales como: el Impuesto Predial por aquellos inmuebles de dominio privado y el de Adquisición de Bienes </w:t>
      </w:r>
      <w:r w:rsidR="006F54BE" w:rsidRPr="004F06F2">
        <w:rPr>
          <w:rFonts w:eastAsia="Calibri" w:cs="Times New Roman"/>
          <w:sz w:val="22"/>
          <w:szCs w:val="22"/>
        </w:rPr>
        <w:t xml:space="preserve">Inmueble </w:t>
      </w:r>
      <w:r w:rsidRPr="004F06F2">
        <w:rPr>
          <w:rFonts w:eastAsia="Calibri" w:cs="Times New Roman"/>
          <w:sz w:val="22"/>
          <w:szCs w:val="22"/>
        </w:rPr>
        <w:t>al realizar compras para su uso de dominio privado; y del Impuesto sobre Erogaciones por Remuneración al Trabajo Personal Prestado Bajo la Dirección y Dependencia de un Patrón, entre otros.</w:t>
      </w:r>
    </w:p>
    <w:p w14:paraId="5EBA1AF7" w14:textId="77777777" w:rsidR="00BD4F6A" w:rsidRPr="004F06F2" w:rsidRDefault="00BD4F6A" w:rsidP="00CD477C">
      <w:pPr>
        <w:spacing w:before="0" w:after="0"/>
        <w:ind w:firstLine="360"/>
        <w:rPr>
          <w:rFonts w:eastAsia="Calibri" w:cs="Times New Roman"/>
          <w:sz w:val="22"/>
          <w:szCs w:val="22"/>
        </w:rPr>
      </w:pPr>
    </w:p>
    <w:p w14:paraId="24A95DA8" w14:textId="77777777" w:rsidR="00BD4F6A" w:rsidRPr="004F06F2" w:rsidRDefault="00BD4F6A" w:rsidP="00CD477C">
      <w:pPr>
        <w:spacing w:before="0" w:after="0"/>
        <w:ind w:firstLine="360"/>
        <w:rPr>
          <w:rFonts w:eastAsia="Calibri" w:cs="Times New Roman"/>
          <w:b/>
          <w:bCs/>
          <w:sz w:val="22"/>
          <w:szCs w:val="22"/>
        </w:rPr>
      </w:pPr>
      <w:r w:rsidRPr="004F06F2">
        <w:rPr>
          <w:rFonts w:eastAsia="Calibri" w:cs="Times New Roman"/>
          <w:b/>
          <w:bCs/>
          <w:sz w:val="22"/>
          <w:szCs w:val="22"/>
        </w:rPr>
        <w:t>f) Estructura organizacional básica</w:t>
      </w:r>
    </w:p>
    <w:p w14:paraId="736F55C8" w14:textId="77777777" w:rsidR="00D75F85" w:rsidRPr="004F06F2" w:rsidRDefault="00D75F85" w:rsidP="00CD477C">
      <w:pPr>
        <w:spacing w:before="0" w:after="0"/>
        <w:rPr>
          <w:rFonts w:eastAsia="Calibri" w:cs="Times New Roman"/>
          <w:sz w:val="22"/>
          <w:szCs w:val="22"/>
        </w:rPr>
      </w:pPr>
    </w:p>
    <w:p w14:paraId="107ACD67" w14:textId="68FE00BE" w:rsidR="00BD4F6A" w:rsidRPr="004F06F2" w:rsidRDefault="00BD4F6A" w:rsidP="00CD477C">
      <w:pPr>
        <w:spacing w:before="0" w:after="0"/>
        <w:rPr>
          <w:rFonts w:eastAsia="Calibri" w:cs="Times New Roman"/>
          <w:sz w:val="22"/>
          <w:szCs w:val="22"/>
        </w:rPr>
      </w:pPr>
      <w:r w:rsidRPr="004F06F2">
        <w:rPr>
          <w:rFonts w:eastAsia="Calibri" w:cs="Times New Roman"/>
          <w:sz w:val="22"/>
          <w:szCs w:val="22"/>
        </w:rPr>
        <w:t xml:space="preserve">El gobierno del Estado de Michoacán tiene al Frente a un Gobernador, el cual es el titular del Poder Ejecutivo que a su vez cuenta con Dependencias </w:t>
      </w:r>
      <w:r w:rsidRPr="004F06F2">
        <w:rPr>
          <w:rFonts w:eastAsia="Calibri" w:cs="Times New Roman"/>
          <w:sz w:val="22"/>
          <w:szCs w:val="22"/>
        </w:rPr>
        <w:lastRenderedPageBreak/>
        <w:t>centralizadas, desconcentradas y entidades paraestatales, de conformidad con la normativa aplicable.</w:t>
      </w:r>
    </w:p>
    <w:p w14:paraId="522693F3" w14:textId="57023391" w:rsidR="00BD4F6A" w:rsidRPr="004F06F2" w:rsidRDefault="00BD4F6A" w:rsidP="00CD477C">
      <w:pPr>
        <w:spacing w:before="0" w:after="0"/>
        <w:rPr>
          <w:rFonts w:eastAsia="Calibri" w:cs="Times New Roman"/>
          <w:sz w:val="22"/>
          <w:szCs w:val="22"/>
        </w:rPr>
      </w:pPr>
    </w:p>
    <w:p w14:paraId="2D06BF93" w14:textId="77777777" w:rsidR="00BD4F6A" w:rsidRPr="004F06F2" w:rsidRDefault="00BD4F6A" w:rsidP="00CD477C">
      <w:pPr>
        <w:spacing w:before="0" w:after="0"/>
        <w:rPr>
          <w:rFonts w:eastAsia="Calibri" w:cs="Times New Roman"/>
          <w:sz w:val="22"/>
          <w:szCs w:val="22"/>
        </w:rPr>
      </w:pPr>
      <w:r w:rsidRPr="004F06F2">
        <w:rPr>
          <w:rFonts w:eastAsia="Calibri" w:cs="Times New Roman"/>
          <w:sz w:val="22"/>
          <w:szCs w:val="22"/>
        </w:rPr>
        <w:t>Las Dependencias centralizadas forman parte de la estructura organizacional y sirven para el despacho de los negocios del orden administrativo encomendados al Gobernador, como se detallan a continuación:</w:t>
      </w:r>
    </w:p>
    <w:p w14:paraId="76F02C43" w14:textId="77777777" w:rsidR="00BD4F6A" w:rsidRPr="004F06F2" w:rsidRDefault="00BD4F6A" w:rsidP="00CD477C">
      <w:pPr>
        <w:spacing w:before="0" w:after="0"/>
        <w:rPr>
          <w:rFonts w:eastAsia="Calibri" w:cs="Times New Roman"/>
          <w:sz w:val="22"/>
          <w:szCs w:val="22"/>
        </w:rPr>
      </w:pPr>
      <w:r w:rsidRPr="004F06F2">
        <w:rPr>
          <w:rFonts w:eastAsia="Calibri" w:cs="Times New Roman"/>
          <w:sz w:val="22"/>
          <w:szCs w:val="22"/>
        </w:rPr>
        <w:t>- Secretaría de Gobierno;</w:t>
      </w:r>
    </w:p>
    <w:p w14:paraId="0D90D4A8" w14:textId="77777777" w:rsidR="00F14AA6" w:rsidRDefault="00BD4F6A" w:rsidP="00CD477C">
      <w:pPr>
        <w:spacing w:before="0" w:after="0"/>
        <w:rPr>
          <w:rFonts w:eastAsia="Calibri" w:cs="Times New Roman"/>
          <w:sz w:val="22"/>
          <w:szCs w:val="22"/>
        </w:rPr>
      </w:pPr>
      <w:r w:rsidRPr="004F06F2">
        <w:rPr>
          <w:rFonts w:eastAsia="Calibri" w:cs="Times New Roman"/>
          <w:sz w:val="22"/>
          <w:szCs w:val="22"/>
        </w:rPr>
        <w:t>- Secretaría de Finanzas y Administración;</w:t>
      </w:r>
    </w:p>
    <w:p w14:paraId="45C091F4" w14:textId="79768AC4" w:rsidR="00F14AA6" w:rsidRPr="004F06F2" w:rsidRDefault="00F14AA6" w:rsidP="00CD477C">
      <w:pPr>
        <w:spacing w:before="0" w:after="0"/>
        <w:rPr>
          <w:rFonts w:eastAsia="Calibri" w:cs="Times New Roman"/>
          <w:sz w:val="22"/>
          <w:szCs w:val="22"/>
        </w:rPr>
      </w:pPr>
      <w:r>
        <w:rPr>
          <w:rFonts w:eastAsia="Calibri" w:cs="Times New Roman"/>
          <w:sz w:val="22"/>
          <w:szCs w:val="22"/>
        </w:rPr>
        <w:t xml:space="preserve">- </w:t>
      </w:r>
      <w:r w:rsidRPr="004F06F2">
        <w:rPr>
          <w:rFonts w:eastAsia="Calibri" w:cs="Times New Roman"/>
          <w:sz w:val="22"/>
          <w:szCs w:val="22"/>
        </w:rPr>
        <w:t>Secretaría de Comunicaciones y Obras Públicas;</w:t>
      </w:r>
    </w:p>
    <w:p w14:paraId="3359E914" w14:textId="77777777" w:rsidR="008F6E68" w:rsidRDefault="00BD4F6A" w:rsidP="00CD477C">
      <w:pPr>
        <w:spacing w:before="0" w:after="0"/>
        <w:rPr>
          <w:rFonts w:eastAsia="Calibri" w:cs="Times New Roman"/>
          <w:sz w:val="22"/>
          <w:szCs w:val="22"/>
        </w:rPr>
      </w:pPr>
      <w:r w:rsidRPr="004F06F2">
        <w:rPr>
          <w:rFonts w:eastAsia="Calibri" w:cs="Times New Roman"/>
          <w:sz w:val="22"/>
          <w:szCs w:val="22"/>
        </w:rPr>
        <w:t xml:space="preserve">- </w:t>
      </w:r>
      <w:r w:rsidR="008F6E68" w:rsidRPr="004F06F2">
        <w:rPr>
          <w:rFonts w:eastAsia="Calibri" w:cs="Times New Roman"/>
          <w:sz w:val="22"/>
          <w:szCs w:val="22"/>
        </w:rPr>
        <w:t>Secretaría de Agricultura y Desarrollo Rural;</w:t>
      </w:r>
    </w:p>
    <w:p w14:paraId="5C711263" w14:textId="77777777" w:rsidR="008F6E68" w:rsidRDefault="008F6E68" w:rsidP="00CD477C">
      <w:pPr>
        <w:spacing w:before="0" w:after="0"/>
        <w:rPr>
          <w:rFonts w:eastAsia="Calibri" w:cs="Times New Roman"/>
          <w:sz w:val="22"/>
          <w:szCs w:val="22"/>
        </w:rPr>
      </w:pPr>
      <w:r w:rsidRPr="004F06F2">
        <w:rPr>
          <w:rFonts w:eastAsia="Calibri" w:cs="Times New Roman"/>
          <w:sz w:val="22"/>
          <w:szCs w:val="22"/>
        </w:rPr>
        <w:t>- Secretaría de Desarrollo Económico;</w:t>
      </w:r>
    </w:p>
    <w:p w14:paraId="038DEE1A" w14:textId="2D652B93" w:rsidR="008F6E68" w:rsidRDefault="008F6E68" w:rsidP="00CD477C">
      <w:pPr>
        <w:spacing w:before="0" w:after="0"/>
        <w:rPr>
          <w:rFonts w:eastAsia="Calibri" w:cs="Times New Roman"/>
          <w:sz w:val="22"/>
          <w:szCs w:val="22"/>
        </w:rPr>
      </w:pPr>
      <w:r w:rsidRPr="004F06F2">
        <w:rPr>
          <w:rFonts w:eastAsia="Calibri" w:cs="Times New Roman"/>
          <w:sz w:val="22"/>
          <w:szCs w:val="22"/>
        </w:rPr>
        <w:t>- Secretaría de Turismo;</w:t>
      </w:r>
    </w:p>
    <w:p w14:paraId="5FA69F2B" w14:textId="77777777" w:rsidR="008F6E68" w:rsidRDefault="008F6E68" w:rsidP="00CD477C">
      <w:pPr>
        <w:spacing w:before="0" w:after="0"/>
        <w:rPr>
          <w:rFonts w:eastAsia="Calibri" w:cs="Times New Roman"/>
          <w:sz w:val="22"/>
          <w:szCs w:val="22"/>
        </w:rPr>
      </w:pPr>
      <w:r w:rsidRPr="004F06F2">
        <w:rPr>
          <w:rFonts w:eastAsia="Calibri" w:cs="Times New Roman"/>
          <w:sz w:val="22"/>
          <w:szCs w:val="22"/>
        </w:rPr>
        <w:t>- Secretaría de Educación;</w:t>
      </w:r>
    </w:p>
    <w:p w14:paraId="63187014" w14:textId="77777777" w:rsidR="008F6E68" w:rsidRDefault="008F6E68" w:rsidP="00CD477C">
      <w:pPr>
        <w:spacing w:before="0" w:after="0"/>
        <w:rPr>
          <w:rFonts w:eastAsia="Calibri" w:cs="Times New Roman"/>
          <w:sz w:val="22"/>
          <w:szCs w:val="22"/>
        </w:rPr>
      </w:pPr>
      <w:r w:rsidRPr="004F06F2">
        <w:rPr>
          <w:rFonts w:eastAsia="Calibri" w:cs="Times New Roman"/>
          <w:sz w:val="22"/>
          <w:szCs w:val="22"/>
        </w:rPr>
        <w:t>- Secretaría del Migrante;</w:t>
      </w:r>
    </w:p>
    <w:p w14:paraId="7C02783E" w14:textId="77777777" w:rsidR="00C0779F" w:rsidRDefault="00C0779F" w:rsidP="00CD477C">
      <w:pPr>
        <w:spacing w:before="0" w:after="0"/>
        <w:rPr>
          <w:rFonts w:eastAsia="Calibri" w:cs="Times New Roman"/>
          <w:sz w:val="22"/>
          <w:szCs w:val="22"/>
        </w:rPr>
      </w:pPr>
      <w:r w:rsidRPr="004F06F2">
        <w:rPr>
          <w:rFonts w:eastAsia="Calibri" w:cs="Times New Roman"/>
          <w:sz w:val="22"/>
          <w:szCs w:val="22"/>
        </w:rPr>
        <w:t>- Secretaría de Seguridad Pública;</w:t>
      </w:r>
    </w:p>
    <w:p w14:paraId="13F047FF" w14:textId="45E54525" w:rsidR="00D13547" w:rsidRDefault="00D13547" w:rsidP="00CD477C">
      <w:pPr>
        <w:spacing w:before="0" w:after="0"/>
        <w:rPr>
          <w:rFonts w:eastAsia="Calibri" w:cs="Times New Roman"/>
          <w:sz w:val="22"/>
          <w:szCs w:val="22"/>
        </w:rPr>
      </w:pPr>
      <w:r w:rsidRPr="004F06F2">
        <w:rPr>
          <w:rFonts w:eastAsia="Calibri" w:cs="Times New Roman"/>
          <w:sz w:val="22"/>
          <w:szCs w:val="22"/>
        </w:rPr>
        <w:t>- Secretaría de Salud</w:t>
      </w:r>
      <w:r>
        <w:rPr>
          <w:rFonts w:eastAsia="Calibri" w:cs="Times New Roman"/>
          <w:sz w:val="22"/>
          <w:szCs w:val="22"/>
        </w:rPr>
        <w:t>;</w:t>
      </w:r>
    </w:p>
    <w:p w14:paraId="63198AB0" w14:textId="2145F5B8" w:rsidR="00BD4F6A" w:rsidRPr="004F06F2" w:rsidRDefault="008F6E68" w:rsidP="00CD477C">
      <w:pPr>
        <w:spacing w:before="0" w:after="0"/>
        <w:rPr>
          <w:rFonts w:eastAsia="Calibri" w:cs="Times New Roman"/>
          <w:sz w:val="22"/>
          <w:szCs w:val="22"/>
        </w:rPr>
      </w:pPr>
      <w:r>
        <w:rPr>
          <w:rFonts w:eastAsia="Calibri" w:cs="Times New Roman"/>
          <w:sz w:val="22"/>
          <w:szCs w:val="22"/>
        </w:rPr>
        <w:t xml:space="preserve">- </w:t>
      </w:r>
      <w:r w:rsidR="00BD4F6A" w:rsidRPr="004F06F2">
        <w:rPr>
          <w:rFonts w:eastAsia="Calibri" w:cs="Times New Roman"/>
          <w:sz w:val="22"/>
          <w:szCs w:val="22"/>
        </w:rPr>
        <w:t>Secretaría de Contraloría;</w:t>
      </w:r>
    </w:p>
    <w:p w14:paraId="65EA7FBD" w14:textId="3120CE3E" w:rsidR="00BD4F6A" w:rsidRPr="004F06F2" w:rsidRDefault="00C0779F" w:rsidP="00CD477C">
      <w:pPr>
        <w:spacing w:before="0" w:after="0"/>
        <w:rPr>
          <w:rFonts w:eastAsia="Calibri" w:cs="Times New Roman"/>
          <w:sz w:val="22"/>
          <w:szCs w:val="22"/>
        </w:rPr>
      </w:pPr>
      <w:r w:rsidRPr="004F06F2">
        <w:rPr>
          <w:rFonts w:eastAsia="Calibri" w:cs="Times New Roman"/>
          <w:sz w:val="22"/>
          <w:szCs w:val="22"/>
        </w:rPr>
        <w:t>- Secretaría del Bienestar;</w:t>
      </w:r>
    </w:p>
    <w:p w14:paraId="226B3873" w14:textId="77777777" w:rsidR="00C0779F" w:rsidRDefault="00C0779F" w:rsidP="00CD477C">
      <w:pPr>
        <w:spacing w:before="0" w:after="0"/>
        <w:rPr>
          <w:rFonts w:eastAsia="Calibri" w:cs="Times New Roman"/>
          <w:sz w:val="22"/>
          <w:szCs w:val="22"/>
        </w:rPr>
      </w:pPr>
      <w:r w:rsidRPr="004F06F2">
        <w:rPr>
          <w:rFonts w:eastAsia="Calibri" w:cs="Times New Roman"/>
          <w:sz w:val="22"/>
          <w:szCs w:val="22"/>
        </w:rPr>
        <w:t>- Secretaría de Cultura;</w:t>
      </w:r>
    </w:p>
    <w:p w14:paraId="434D8827" w14:textId="77777777" w:rsidR="00C0779F" w:rsidRDefault="00C0779F" w:rsidP="00CD477C">
      <w:pPr>
        <w:spacing w:before="0" w:after="0"/>
        <w:rPr>
          <w:rFonts w:eastAsia="Calibri" w:cs="Times New Roman"/>
          <w:sz w:val="22"/>
          <w:szCs w:val="22"/>
        </w:rPr>
      </w:pPr>
      <w:r w:rsidRPr="004F06F2">
        <w:rPr>
          <w:rFonts w:eastAsia="Calibri" w:cs="Times New Roman"/>
          <w:sz w:val="22"/>
          <w:szCs w:val="22"/>
        </w:rPr>
        <w:t>- Secretaría de Igualdad Sustantiva y Desarrollo de las Mujeres Michoacanas.</w:t>
      </w:r>
    </w:p>
    <w:p w14:paraId="553C535D" w14:textId="76EBF60B" w:rsidR="001929A9" w:rsidRPr="004F06F2" w:rsidRDefault="001929A9" w:rsidP="001929A9">
      <w:pPr>
        <w:spacing w:before="0" w:after="0"/>
        <w:rPr>
          <w:rFonts w:eastAsia="Calibri" w:cs="Times New Roman"/>
          <w:sz w:val="22"/>
          <w:szCs w:val="22"/>
        </w:rPr>
      </w:pPr>
      <w:r w:rsidRPr="004F06F2">
        <w:rPr>
          <w:rFonts w:eastAsia="Calibri" w:cs="Times New Roman"/>
          <w:sz w:val="22"/>
          <w:szCs w:val="22"/>
        </w:rPr>
        <w:t>- Secretaría de Desarrollo Urbano y Movilidad;</w:t>
      </w:r>
      <w:r w:rsidR="000E23AD">
        <w:rPr>
          <w:rFonts w:eastAsia="Calibri" w:cs="Times New Roman"/>
          <w:sz w:val="22"/>
          <w:szCs w:val="22"/>
        </w:rPr>
        <w:t xml:space="preserve"> </w:t>
      </w:r>
      <w:r w:rsidR="00D13547">
        <w:rPr>
          <w:rFonts w:eastAsia="Calibri" w:cs="Times New Roman"/>
          <w:sz w:val="22"/>
          <w:szCs w:val="22"/>
        </w:rPr>
        <w:t>y</w:t>
      </w:r>
      <w:r w:rsidR="000E23AD">
        <w:rPr>
          <w:rFonts w:eastAsia="Calibri" w:cs="Times New Roman"/>
          <w:sz w:val="22"/>
          <w:szCs w:val="22"/>
        </w:rPr>
        <w:t>,</w:t>
      </w:r>
    </w:p>
    <w:p w14:paraId="7A80E7AD" w14:textId="77777777" w:rsidR="001929A9" w:rsidRPr="004F06F2" w:rsidRDefault="001929A9" w:rsidP="001929A9">
      <w:pPr>
        <w:spacing w:before="0" w:after="0"/>
        <w:rPr>
          <w:rFonts w:eastAsia="Calibri" w:cs="Times New Roman"/>
          <w:sz w:val="22"/>
          <w:szCs w:val="22"/>
        </w:rPr>
      </w:pPr>
      <w:r w:rsidRPr="004F06F2">
        <w:rPr>
          <w:rFonts w:eastAsia="Calibri" w:cs="Times New Roman"/>
          <w:sz w:val="22"/>
          <w:szCs w:val="22"/>
        </w:rPr>
        <w:t>- Secretaría del Medio Ambiente;</w:t>
      </w:r>
    </w:p>
    <w:p w14:paraId="7C8DF039" w14:textId="77777777" w:rsidR="003E2C2C" w:rsidRPr="004F06F2" w:rsidRDefault="003E2C2C" w:rsidP="00CD477C">
      <w:pPr>
        <w:spacing w:before="0" w:after="0"/>
        <w:rPr>
          <w:rFonts w:eastAsia="Calibri" w:cs="Times New Roman"/>
          <w:sz w:val="22"/>
          <w:szCs w:val="22"/>
        </w:rPr>
      </w:pPr>
    </w:p>
    <w:p w14:paraId="384094AF" w14:textId="150A76B1" w:rsidR="00BD4F6A" w:rsidRPr="004F06F2" w:rsidRDefault="00BD4F6A" w:rsidP="00CD477C">
      <w:pPr>
        <w:spacing w:before="0" w:after="0"/>
        <w:rPr>
          <w:rFonts w:eastAsia="Calibri" w:cs="Times New Roman"/>
          <w:sz w:val="22"/>
          <w:szCs w:val="22"/>
        </w:rPr>
      </w:pPr>
      <w:r w:rsidRPr="004F06F2">
        <w:rPr>
          <w:rFonts w:eastAsia="Calibri" w:cs="Times New Roman"/>
          <w:sz w:val="22"/>
          <w:szCs w:val="22"/>
        </w:rPr>
        <w:t xml:space="preserve">Cada una de estas </w:t>
      </w:r>
      <w:r w:rsidR="000E23AD">
        <w:rPr>
          <w:rFonts w:eastAsia="Calibri" w:cs="Times New Roman"/>
          <w:sz w:val="22"/>
          <w:szCs w:val="22"/>
        </w:rPr>
        <w:t xml:space="preserve">Dependencias </w:t>
      </w:r>
      <w:r w:rsidR="003E2C2C" w:rsidRPr="004F06F2">
        <w:rPr>
          <w:rFonts w:eastAsia="Calibri" w:cs="Times New Roman"/>
          <w:sz w:val="22"/>
          <w:szCs w:val="22"/>
        </w:rPr>
        <w:t>está organizada</w:t>
      </w:r>
      <w:r w:rsidRPr="004F06F2">
        <w:rPr>
          <w:rFonts w:eastAsia="Calibri" w:cs="Times New Roman"/>
          <w:sz w:val="22"/>
          <w:szCs w:val="22"/>
        </w:rPr>
        <w:t xml:space="preserve"> de tal forma que permitan el correcto funcionamiento de la Administración Pública Estatal.</w:t>
      </w:r>
    </w:p>
    <w:p w14:paraId="7981E3C5" w14:textId="77777777" w:rsidR="00E072C4" w:rsidRPr="004F06F2" w:rsidRDefault="00E072C4" w:rsidP="00CD477C">
      <w:pPr>
        <w:spacing w:before="0" w:after="0"/>
        <w:rPr>
          <w:rFonts w:eastAsia="Calibri" w:cs="Times New Roman"/>
          <w:sz w:val="22"/>
          <w:szCs w:val="22"/>
        </w:rPr>
      </w:pPr>
    </w:p>
    <w:p w14:paraId="070BEF83" w14:textId="7473719A" w:rsidR="00E072C4" w:rsidRPr="004F06F2" w:rsidRDefault="009E47B0" w:rsidP="00CD477C">
      <w:pPr>
        <w:spacing w:before="0" w:after="0"/>
        <w:rPr>
          <w:rFonts w:eastAsia="Calibri" w:cs="Times New Roman"/>
          <w:sz w:val="22"/>
          <w:szCs w:val="22"/>
        </w:rPr>
      </w:pPr>
      <w:r w:rsidRPr="004F06F2">
        <w:rPr>
          <w:rFonts w:eastAsia="Calibri" w:cs="Times New Roman"/>
          <w:sz w:val="22"/>
          <w:szCs w:val="22"/>
        </w:rPr>
        <w:t xml:space="preserve"> </w:t>
      </w:r>
    </w:p>
    <w:p w14:paraId="0A9CA64E" w14:textId="77777777" w:rsidR="00087647" w:rsidRPr="004F06F2" w:rsidRDefault="00087647" w:rsidP="00CD477C">
      <w:pPr>
        <w:spacing w:before="0" w:after="0"/>
        <w:ind w:firstLine="360"/>
        <w:rPr>
          <w:rFonts w:eastAsia="Calibri" w:cs="Times New Roman"/>
          <w:b/>
          <w:bCs/>
          <w:sz w:val="22"/>
          <w:szCs w:val="22"/>
        </w:rPr>
      </w:pPr>
    </w:p>
    <w:p w14:paraId="0A0A4452" w14:textId="77777777" w:rsidR="00BD4F6A" w:rsidRPr="004F06F2" w:rsidRDefault="00BD4F6A" w:rsidP="00CD477C">
      <w:pPr>
        <w:spacing w:before="0" w:after="0"/>
        <w:ind w:firstLine="360"/>
        <w:rPr>
          <w:rFonts w:eastAsia="Calibri" w:cs="Times New Roman"/>
          <w:b/>
          <w:bCs/>
          <w:sz w:val="22"/>
          <w:szCs w:val="22"/>
        </w:rPr>
      </w:pPr>
      <w:r w:rsidRPr="004F06F2">
        <w:rPr>
          <w:rFonts w:eastAsia="Calibri" w:cs="Times New Roman"/>
          <w:b/>
          <w:bCs/>
          <w:sz w:val="22"/>
          <w:szCs w:val="22"/>
        </w:rPr>
        <w:t>g) Fideicomisos, mandatos y análogos de los cuales es fideicomisario.</w:t>
      </w:r>
    </w:p>
    <w:p w14:paraId="46EBAFEA" w14:textId="77777777" w:rsidR="00BD4F6A" w:rsidRPr="004F06F2" w:rsidRDefault="00BD4F6A" w:rsidP="00CD477C">
      <w:pPr>
        <w:spacing w:before="0" w:after="0"/>
        <w:rPr>
          <w:rFonts w:eastAsia="Calibri" w:cs="Times New Roman"/>
          <w:sz w:val="22"/>
          <w:szCs w:val="22"/>
        </w:rPr>
      </w:pPr>
      <w:r w:rsidRPr="004F06F2">
        <w:rPr>
          <w:rFonts w:eastAsia="Calibri" w:cs="Times New Roman"/>
          <w:sz w:val="22"/>
          <w:szCs w:val="22"/>
        </w:rPr>
        <w:t>Los fideicomisos, mandatos y análogos de los cuales el Gobierno del Estado de Michoacán es fideicomisario, se detallan en el punto 6 de las Notas de desglose.</w:t>
      </w:r>
    </w:p>
    <w:p w14:paraId="5BD978A7" w14:textId="1CADA602" w:rsidR="00C24CC7" w:rsidRPr="004F06F2" w:rsidRDefault="00C24CC7" w:rsidP="00CD477C">
      <w:pPr>
        <w:spacing w:before="0" w:after="0"/>
        <w:rPr>
          <w:rFonts w:eastAsia="Calibri" w:cs="Times New Roman"/>
          <w:b/>
          <w:sz w:val="22"/>
          <w:szCs w:val="22"/>
        </w:rPr>
      </w:pPr>
    </w:p>
    <w:p w14:paraId="5B8A7D3B" w14:textId="15F940A4" w:rsidR="00BD4F6A" w:rsidRPr="004F06F2" w:rsidRDefault="00545D07" w:rsidP="00CD477C">
      <w:pPr>
        <w:spacing w:before="0" w:after="0"/>
        <w:rPr>
          <w:rFonts w:eastAsia="Calibri" w:cs="Times New Roman"/>
          <w:b/>
          <w:sz w:val="22"/>
          <w:szCs w:val="22"/>
        </w:rPr>
      </w:pPr>
      <w:r w:rsidRPr="004F06F2">
        <w:rPr>
          <w:rFonts w:eastAsia="Calibri" w:cs="Times New Roman"/>
          <w:b/>
          <w:sz w:val="22"/>
          <w:szCs w:val="22"/>
        </w:rPr>
        <w:t>4</w:t>
      </w:r>
      <w:r w:rsidR="00BD4F6A" w:rsidRPr="004F06F2">
        <w:rPr>
          <w:rFonts w:eastAsia="Calibri" w:cs="Times New Roman"/>
          <w:b/>
          <w:sz w:val="22"/>
          <w:szCs w:val="22"/>
        </w:rPr>
        <w:t>.</w:t>
      </w:r>
      <w:r w:rsidR="00BD4F6A" w:rsidRPr="004F06F2">
        <w:rPr>
          <w:rFonts w:eastAsia="Calibri" w:cs="Times New Roman"/>
          <w:b/>
          <w:sz w:val="22"/>
          <w:szCs w:val="22"/>
        </w:rPr>
        <w:tab/>
        <w:t>Bases de Preparación de los Estados Financieros.</w:t>
      </w:r>
    </w:p>
    <w:p w14:paraId="6AF32E47" w14:textId="77777777" w:rsidR="00BD4F6A" w:rsidRPr="004F06F2" w:rsidRDefault="00BD4F6A" w:rsidP="00CD477C">
      <w:pPr>
        <w:spacing w:before="0" w:after="0"/>
        <w:rPr>
          <w:rFonts w:ascii="GalanoGrotesque-ExtraLight" w:eastAsia="Calibri" w:hAnsi="GalanoGrotesque-ExtraLight" w:cs="Times New Roman"/>
          <w:b/>
          <w:sz w:val="22"/>
          <w:szCs w:val="22"/>
        </w:rPr>
      </w:pPr>
    </w:p>
    <w:p w14:paraId="0E433E93" w14:textId="669639F8" w:rsidR="00BD4F6A" w:rsidRPr="004F06F2" w:rsidRDefault="00DD6C98" w:rsidP="00CD477C">
      <w:pPr>
        <w:spacing w:before="0" w:after="0"/>
        <w:ind w:left="720"/>
        <w:rPr>
          <w:rFonts w:eastAsia="Calibri" w:cs="Times New Roman"/>
          <w:b/>
          <w:sz w:val="22"/>
          <w:szCs w:val="22"/>
        </w:rPr>
      </w:pPr>
      <w:r w:rsidRPr="004F06F2">
        <w:rPr>
          <w:rFonts w:eastAsia="Calibri" w:cs="Times New Roman"/>
          <w:b/>
          <w:sz w:val="22"/>
          <w:szCs w:val="22"/>
        </w:rPr>
        <w:lastRenderedPageBreak/>
        <w:t>a)</w:t>
      </w:r>
      <w:r w:rsidR="00BD4F6A" w:rsidRPr="004F06F2">
        <w:rPr>
          <w:rFonts w:eastAsia="Calibri" w:cs="Times New Roman"/>
          <w:b/>
          <w:sz w:val="22"/>
          <w:szCs w:val="22"/>
        </w:rPr>
        <w:t xml:space="preserve"> Si se ha observado la normatividad emitida por el CONAC y las disposiciones legales aplicables.</w:t>
      </w:r>
    </w:p>
    <w:p w14:paraId="44C44CB7" w14:textId="77777777" w:rsidR="00BD4F6A" w:rsidRPr="004F06F2" w:rsidRDefault="00BD4F6A" w:rsidP="00CD477C">
      <w:pPr>
        <w:spacing w:before="0" w:after="0"/>
        <w:rPr>
          <w:rFonts w:eastAsia="Calibri" w:cs="Times New Roman"/>
          <w:sz w:val="22"/>
          <w:szCs w:val="22"/>
        </w:rPr>
      </w:pPr>
      <w:r w:rsidRPr="004F06F2">
        <w:rPr>
          <w:rFonts w:eastAsia="Calibri" w:cs="Times New Roman"/>
          <w:sz w:val="22"/>
          <w:szCs w:val="22"/>
        </w:rPr>
        <w:t>A partir de 2009 hasta la fecha, el Consejo Nacional de Armonización Contable ha emitido diversas disposiciones regulatorias en materia de contabilidad gubernamental estableciéndose</w:t>
      </w:r>
      <w:r w:rsidRPr="004F06F2">
        <w:rPr>
          <w:rFonts w:eastAsia="Calibri" w:cs="Times New Roman"/>
          <w:color w:val="C00000"/>
          <w:sz w:val="22"/>
          <w:szCs w:val="22"/>
        </w:rPr>
        <w:t xml:space="preserve"> </w:t>
      </w:r>
      <w:r w:rsidRPr="004F06F2">
        <w:rPr>
          <w:rFonts w:eastAsia="Calibri" w:cs="Times New Roman"/>
          <w:sz w:val="22"/>
          <w:szCs w:val="22"/>
        </w:rPr>
        <w:t xml:space="preserve">diversas fechas para el inicio de su aplicación efectiva. Consecuentemente a partir de las fechas señaladas, se tiene la obligación de emitir información contable, presupuestaria y programática sobre la base técnica prevista en los documentos técnico-contables siguientes: </w:t>
      </w:r>
    </w:p>
    <w:p w14:paraId="39BFF4FA" w14:textId="77777777" w:rsidR="00BD4F6A" w:rsidRPr="004F06F2" w:rsidRDefault="00BD4F6A" w:rsidP="00CD477C">
      <w:pPr>
        <w:spacing w:before="0" w:after="0"/>
        <w:rPr>
          <w:rFonts w:eastAsia="Calibri" w:cs="Times New Roman"/>
          <w:sz w:val="22"/>
          <w:szCs w:val="22"/>
        </w:rPr>
      </w:pPr>
    </w:p>
    <w:p w14:paraId="1425F543" w14:textId="77777777" w:rsidR="00BD4F6A" w:rsidRPr="004F06F2" w:rsidRDefault="00BD4F6A" w:rsidP="00CD477C">
      <w:pPr>
        <w:widowControl w:val="0"/>
        <w:numPr>
          <w:ilvl w:val="0"/>
          <w:numId w:val="7"/>
        </w:numPr>
        <w:kinsoku w:val="0"/>
        <w:spacing w:before="0" w:after="0"/>
        <w:ind w:left="1848" w:hanging="357"/>
        <w:contextualSpacing/>
        <w:jc w:val="left"/>
        <w:rPr>
          <w:rFonts w:eastAsia="Times New Roman" w:cs="Times New Roman"/>
          <w:sz w:val="22"/>
          <w:szCs w:val="22"/>
          <w:lang w:eastAsia="es-MX"/>
        </w:rPr>
      </w:pPr>
      <w:r w:rsidRPr="004F06F2">
        <w:rPr>
          <w:rFonts w:eastAsia="Times New Roman" w:cs="Times New Roman"/>
          <w:sz w:val="22"/>
          <w:szCs w:val="22"/>
          <w:lang w:val="en-US" w:eastAsia="es-MX"/>
        </w:rPr>
        <w:t>Marco Conceptual</w:t>
      </w:r>
    </w:p>
    <w:p w14:paraId="0F3EC809" w14:textId="77777777" w:rsidR="00BD4F6A" w:rsidRPr="004F06F2" w:rsidRDefault="00BD4F6A" w:rsidP="00CD477C">
      <w:pPr>
        <w:widowControl w:val="0"/>
        <w:numPr>
          <w:ilvl w:val="0"/>
          <w:numId w:val="7"/>
        </w:numPr>
        <w:kinsoku w:val="0"/>
        <w:spacing w:before="0" w:after="0"/>
        <w:ind w:left="1848" w:hanging="357"/>
        <w:contextualSpacing/>
        <w:jc w:val="left"/>
        <w:rPr>
          <w:rFonts w:eastAsia="Times New Roman" w:cs="Times New Roman"/>
          <w:sz w:val="22"/>
          <w:szCs w:val="22"/>
          <w:lang w:eastAsia="es-MX"/>
        </w:rPr>
      </w:pPr>
      <w:r w:rsidRPr="004F06F2">
        <w:rPr>
          <w:rFonts w:eastAsia="Times New Roman" w:cs="Times New Roman"/>
          <w:sz w:val="22"/>
          <w:szCs w:val="22"/>
          <w:lang w:eastAsia="es-MX"/>
        </w:rPr>
        <w:t xml:space="preserve">Postulados Básicos de </w:t>
      </w:r>
      <w:r w:rsidRPr="004F06F2">
        <w:rPr>
          <w:rFonts w:eastAsia="Times New Roman" w:cs="Times New Roman"/>
          <w:sz w:val="22"/>
          <w:szCs w:val="22"/>
          <w:lang w:val="en-US" w:eastAsia="es-MX"/>
        </w:rPr>
        <w:t>Contabilidad</w:t>
      </w:r>
      <w:r w:rsidRPr="004F06F2">
        <w:rPr>
          <w:rFonts w:eastAsia="Times New Roman" w:cs="Times New Roman"/>
          <w:sz w:val="22"/>
          <w:szCs w:val="22"/>
          <w:lang w:eastAsia="es-MX"/>
        </w:rPr>
        <w:t xml:space="preserve"> Gubernamental</w:t>
      </w:r>
    </w:p>
    <w:p w14:paraId="768CB9B0" w14:textId="77777777" w:rsidR="00BD4F6A" w:rsidRPr="004F06F2" w:rsidRDefault="00BD4F6A" w:rsidP="00CD477C">
      <w:pPr>
        <w:widowControl w:val="0"/>
        <w:numPr>
          <w:ilvl w:val="0"/>
          <w:numId w:val="7"/>
        </w:numPr>
        <w:kinsoku w:val="0"/>
        <w:spacing w:before="0" w:after="0"/>
        <w:ind w:left="1848" w:hanging="357"/>
        <w:contextualSpacing/>
        <w:jc w:val="left"/>
        <w:rPr>
          <w:rFonts w:eastAsia="Times New Roman" w:cs="Times New Roman"/>
          <w:sz w:val="22"/>
          <w:szCs w:val="22"/>
          <w:lang w:eastAsia="es-MX"/>
        </w:rPr>
      </w:pPr>
      <w:proofErr w:type="spellStart"/>
      <w:r w:rsidRPr="004F06F2">
        <w:rPr>
          <w:rFonts w:eastAsia="Times New Roman" w:cs="Times New Roman"/>
          <w:sz w:val="22"/>
          <w:szCs w:val="22"/>
          <w:lang w:val="en-US" w:eastAsia="es-MX"/>
        </w:rPr>
        <w:t>Clasificador</w:t>
      </w:r>
      <w:proofErr w:type="spellEnd"/>
      <w:r w:rsidRPr="004F06F2">
        <w:rPr>
          <w:rFonts w:eastAsia="Times New Roman" w:cs="Times New Roman"/>
          <w:sz w:val="22"/>
          <w:szCs w:val="22"/>
          <w:lang w:eastAsia="es-MX"/>
        </w:rPr>
        <w:t xml:space="preserve"> por Objeto del Gasto</w:t>
      </w:r>
    </w:p>
    <w:p w14:paraId="0FBC8C87" w14:textId="77777777" w:rsidR="00BD4F6A" w:rsidRPr="004F06F2" w:rsidRDefault="00BD4F6A" w:rsidP="00CD477C">
      <w:pPr>
        <w:widowControl w:val="0"/>
        <w:numPr>
          <w:ilvl w:val="0"/>
          <w:numId w:val="7"/>
        </w:numPr>
        <w:kinsoku w:val="0"/>
        <w:spacing w:before="0" w:after="0"/>
        <w:ind w:left="1848" w:hanging="357"/>
        <w:contextualSpacing/>
        <w:jc w:val="left"/>
        <w:rPr>
          <w:rFonts w:eastAsia="Times New Roman" w:cs="Times New Roman"/>
          <w:sz w:val="22"/>
          <w:szCs w:val="22"/>
          <w:lang w:eastAsia="es-MX"/>
        </w:rPr>
      </w:pPr>
      <w:r w:rsidRPr="004F06F2">
        <w:rPr>
          <w:rFonts w:eastAsia="Times New Roman" w:cs="Times New Roman"/>
          <w:sz w:val="22"/>
          <w:szCs w:val="22"/>
          <w:lang w:eastAsia="es-MX"/>
        </w:rPr>
        <w:t>Clasificador por Tipo de Gasto</w:t>
      </w:r>
    </w:p>
    <w:p w14:paraId="4F67C69F" w14:textId="77777777" w:rsidR="00BD4F6A" w:rsidRPr="004F06F2" w:rsidRDefault="00BD4F6A" w:rsidP="00CD477C">
      <w:pPr>
        <w:widowControl w:val="0"/>
        <w:numPr>
          <w:ilvl w:val="0"/>
          <w:numId w:val="7"/>
        </w:numPr>
        <w:kinsoku w:val="0"/>
        <w:spacing w:before="0" w:after="0"/>
        <w:ind w:left="1848" w:hanging="357"/>
        <w:contextualSpacing/>
        <w:jc w:val="left"/>
        <w:rPr>
          <w:rFonts w:eastAsia="Times New Roman" w:cs="Times New Roman"/>
          <w:sz w:val="22"/>
          <w:szCs w:val="22"/>
          <w:lang w:eastAsia="es-MX"/>
        </w:rPr>
      </w:pPr>
      <w:r w:rsidRPr="004F06F2">
        <w:rPr>
          <w:rFonts w:eastAsia="Times New Roman" w:cs="Times New Roman"/>
          <w:sz w:val="22"/>
          <w:szCs w:val="22"/>
          <w:lang w:eastAsia="es-MX"/>
        </w:rPr>
        <w:t>Clasificador por Rubros de Ingresos</w:t>
      </w:r>
    </w:p>
    <w:p w14:paraId="5B3BA8B6" w14:textId="77777777" w:rsidR="00BD4F6A" w:rsidRPr="004F06F2" w:rsidRDefault="00BD4F6A" w:rsidP="00CD477C">
      <w:pPr>
        <w:widowControl w:val="0"/>
        <w:numPr>
          <w:ilvl w:val="0"/>
          <w:numId w:val="7"/>
        </w:numPr>
        <w:kinsoku w:val="0"/>
        <w:spacing w:before="0" w:after="0"/>
        <w:ind w:left="1848" w:hanging="357"/>
        <w:contextualSpacing/>
        <w:jc w:val="left"/>
        <w:rPr>
          <w:rFonts w:eastAsia="Times New Roman" w:cs="Times New Roman"/>
          <w:sz w:val="22"/>
          <w:szCs w:val="22"/>
          <w:lang w:val="en-US" w:eastAsia="es-MX"/>
        </w:rPr>
      </w:pPr>
      <w:r w:rsidRPr="004F06F2">
        <w:rPr>
          <w:rFonts w:eastAsia="Times New Roman" w:cs="Times New Roman"/>
          <w:sz w:val="22"/>
          <w:szCs w:val="22"/>
          <w:lang w:val="en-US" w:eastAsia="es-MX"/>
        </w:rPr>
        <w:t>Plan de</w:t>
      </w:r>
      <w:r w:rsidRPr="004F06F2">
        <w:rPr>
          <w:rFonts w:eastAsia="Times New Roman" w:cs="Times New Roman"/>
          <w:sz w:val="22"/>
          <w:szCs w:val="22"/>
          <w:lang w:eastAsia="es-MX"/>
        </w:rPr>
        <w:t xml:space="preserve"> Cuentas</w:t>
      </w:r>
      <w:r w:rsidRPr="004F06F2">
        <w:rPr>
          <w:rFonts w:eastAsia="Times New Roman" w:cs="Times New Roman"/>
          <w:sz w:val="22"/>
          <w:szCs w:val="22"/>
          <w:lang w:val="en-US" w:eastAsia="es-MX"/>
        </w:rPr>
        <w:t xml:space="preserve"> de </w:t>
      </w:r>
      <w:r w:rsidRPr="004F06F2">
        <w:rPr>
          <w:rFonts w:eastAsia="Times New Roman" w:cs="Times New Roman"/>
          <w:sz w:val="22"/>
          <w:szCs w:val="22"/>
          <w:lang w:eastAsia="es-MX"/>
        </w:rPr>
        <w:t>Contabilidad</w:t>
      </w:r>
    </w:p>
    <w:p w14:paraId="1AC43DFD" w14:textId="77777777" w:rsidR="00BD4F6A" w:rsidRPr="004F06F2" w:rsidRDefault="00BD4F6A" w:rsidP="00CD477C">
      <w:pPr>
        <w:widowControl w:val="0"/>
        <w:numPr>
          <w:ilvl w:val="0"/>
          <w:numId w:val="7"/>
        </w:numPr>
        <w:kinsoku w:val="0"/>
        <w:spacing w:before="0" w:after="0"/>
        <w:ind w:left="1848" w:hanging="357"/>
        <w:contextualSpacing/>
        <w:jc w:val="left"/>
        <w:rPr>
          <w:rFonts w:eastAsia="Times New Roman" w:cs="Times New Roman"/>
          <w:sz w:val="22"/>
          <w:szCs w:val="22"/>
          <w:lang w:eastAsia="es-MX"/>
        </w:rPr>
      </w:pPr>
      <w:r w:rsidRPr="004F06F2">
        <w:rPr>
          <w:rFonts w:eastAsia="Times New Roman" w:cs="Times New Roman"/>
          <w:sz w:val="22"/>
          <w:szCs w:val="22"/>
          <w:lang w:eastAsia="es-MX"/>
        </w:rPr>
        <w:t>Momentos Contables de los Egresos</w:t>
      </w:r>
    </w:p>
    <w:p w14:paraId="758ACDA7" w14:textId="77777777" w:rsidR="00BD4F6A" w:rsidRPr="004F06F2" w:rsidRDefault="00BD4F6A" w:rsidP="00CD477C">
      <w:pPr>
        <w:widowControl w:val="0"/>
        <w:numPr>
          <w:ilvl w:val="0"/>
          <w:numId w:val="7"/>
        </w:numPr>
        <w:kinsoku w:val="0"/>
        <w:spacing w:before="0" w:after="0"/>
        <w:ind w:left="1848" w:hanging="357"/>
        <w:contextualSpacing/>
        <w:jc w:val="left"/>
        <w:rPr>
          <w:rFonts w:eastAsia="Times New Roman" w:cs="Times New Roman"/>
          <w:sz w:val="22"/>
          <w:szCs w:val="22"/>
          <w:lang w:val="en-US" w:eastAsia="es-MX"/>
        </w:rPr>
      </w:pPr>
      <w:proofErr w:type="spellStart"/>
      <w:r w:rsidRPr="004F06F2">
        <w:rPr>
          <w:rFonts w:eastAsia="Times New Roman" w:cs="Times New Roman"/>
          <w:sz w:val="22"/>
          <w:szCs w:val="22"/>
          <w:lang w:val="en-US" w:eastAsia="es-MX"/>
        </w:rPr>
        <w:t>Momentos</w:t>
      </w:r>
      <w:proofErr w:type="spellEnd"/>
      <w:r w:rsidRPr="004F06F2">
        <w:rPr>
          <w:rFonts w:eastAsia="Times New Roman" w:cs="Times New Roman"/>
          <w:sz w:val="22"/>
          <w:szCs w:val="22"/>
          <w:lang w:val="en-US" w:eastAsia="es-MX"/>
        </w:rPr>
        <w:t xml:space="preserve"> </w:t>
      </w:r>
      <w:proofErr w:type="spellStart"/>
      <w:r w:rsidRPr="004F06F2">
        <w:rPr>
          <w:rFonts w:eastAsia="Times New Roman" w:cs="Times New Roman"/>
          <w:sz w:val="22"/>
          <w:szCs w:val="22"/>
          <w:lang w:val="en-US" w:eastAsia="es-MX"/>
        </w:rPr>
        <w:t>Contables</w:t>
      </w:r>
      <w:proofErr w:type="spellEnd"/>
      <w:r w:rsidRPr="004F06F2">
        <w:rPr>
          <w:rFonts w:eastAsia="Times New Roman" w:cs="Times New Roman"/>
          <w:sz w:val="22"/>
          <w:szCs w:val="22"/>
          <w:lang w:val="en-US" w:eastAsia="es-MX"/>
        </w:rPr>
        <w:t xml:space="preserve"> de </w:t>
      </w:r>
      <w:proofErr w:type="spellStart"/>
      <w:r w:rsidRPr="004F06F2">
        <w:rPr>
          <w:rFonts w:eastAsia="Times New Roman" w:cs="Times New Roman"/>
          <w:sz w:val="22"/>
          <w:szCs w:val="22"/>
          <w:lang w:val="en-US" w:eastAsia="es-MX"/>
        </w:rPr>
        <w:t>los</w:t>
      </w:r>
      <w:proofErr w:type="spellEnd"/>
      <w:r w:rsidRPr="004F06F2">
        <w:rPr>
          <w:rFonts w:eastAsia="Times New Roman" w:cs="Times New Roman"/>
          <w:sz w:val="22"/>
          <w:szCs w:val="22"/>
          <w:lang w:val="en-US" w:eastAsia="es-MX"/>
        </w:rPr>
        <w:t xml:space="preserve"> </w:t>
      </w:r>
      <w:proofErr w:type="spellStart"/>
      <w:r w:rsidRPr="004F06F2">
        <w:rPr>
          <w:rFonts w:eastAsia="Times New Roman" w:cs="Times New Roman"/>
          <w:sz w:val="22"/>
          <w:szCs w:val="22"/>
          <w:lang w:val="en-US" w:eastAsia="es-MX"/>
        </w:rPr>
        <w:t>Ingresos</w:t>
      </w:r>
      <w:proofErr w:type="spellEnd"/>
    </w:p>
    <w:p w14:paraId="69006917" w14:textId="77777777" w:rsidR="00BD4F6A" w:rsidRPr="004F06F2" w:rsidRDefault="00BD4F6A" w:rsidP="00CD477C">
      <w:pPr>
        <w:widowControl w:val="0"/>
        <w:numPr>
          <w:ilvl w:val="0"/>
          <w:numId w:val="7"/>
        </w:numPr>
        <w:kinsoku w:val="0"/>
        <w:spacing w:before="0" w:after="0"/>
        <w:ind w:left="1848" w:hanging="357"/>
        <w:contextualSpacing/>
        <w:jc w:val="left"/>
        <w:rPr>
          <w:rFonts w:eastAsia="Times New Roman" w:cs="Times New Roman"/>
          <w:sz w:val="22"/>
          <w:szCs w:val="22"/>
          <w:lang w:val="en-US" w:eastAsia="es-MX"/>
        </w:rPr>
      </w:pPr>
      <w:r w:rsidRPr="004F06F2">
        <w:rPr>
          <w:rFonts w:eastAsia="Times New Roman" w:cs="Times New Roman"/>
          <w:sz w:val="22"/>
          <w:szCs w:val="22"/>
          <w:lang w:val="en-US" w:eastAsia="es-MX"/>
        </w:rPr>
        <w:t>Manual de Contabilidad Gubernamental</w:t>
      </w:r>
    </w:p>
    <w:p w14:paraId="4FCC8713" w14:textId="77777777" w:rsidR="00BD4F6A" w:rsidRPr="004F06F2" w:rsidRDefault="00BD4F6A" w:rsidP="00CD477C">
      <w:pPr>
        <w:widowControl w:val="0"/>
        <w:kinsoku w:val="0"/>
        <w:spacing w:before="0" w:after="0"/>
        <w:contextualSpacing/>
        <w:jc w:val="left"/>
        <w:rPr>
          <w:rFonts w:eastAsia="Times New Roman" w:cs="Times New Roman"/>
          <w:sz w:val="22"/>
          <w:szCs w:val="22"/>
          <w:lang w:val="en-US" w:eastAsia="es-MX"/>
        </w:rPr>
      </w:pPr>
    </w:p>
    <w:p w14:paraId="7466B712" w14:textId="52394636" w:rsidR="00BD4F6A" w:rsidRPr="004F06F2" w:rsidRDefault="00BD4F6A" w:rsidP="00CD477C">
      <w:pPr>
        <w:tabs>
          <w:tab w:val="left" w:pos="709"/>
        </w:tabs>
        <w:spacing w:before="0" w:after="0"/>
        <w:rPr>
          <w:rFonts w:eastAsia="Calibri" w:cs="Times New Roman"/>
          <w:sz w:val="22"/>
          <w:szCs w:val="22"/>
        </w:rPr>
      </w:pPr>
      <w:r w:rsidRPr="004F06F2">
        <w:rPr>
          <w:rFonts w:eastAsia="Calibri" w:cs="Times New Roman"/>
          <w:sz w:val="22"/>
          <w:szCs w:val="22"/>
        </w:rPr>
        <w:t xml:space="preserve">La Ley de Planeación Hacendaria, Presupuesto, Gasto Público y Contabilidad Gubernamental del Estado de Michoacán de Ocampo, en su artículo 91, establece que la contabilidad gubernamental de los gobiernos Estatal y Municipales será la fuente para la formulación de la </w:t>
      </w:r>
      <w:r w:rsidR="00783C87" w:rsidRPr="004F06F2">
        <w:rPr>
          <w:rFonts w:eastAsia="Calibri" w:cs="Times New Roman"/>
          <w:sz w:val="22"/>
          <w:szCs w:val="22"/>
        </w:rPr>
        <w:t>C</w:t>
      </w:r>
      <w:r w:rsidRPr="004F06F2">
        <w:rPr>
          <w:rFonts w:eastAsia="Calibri" w:cs="Times New Roman"/>
          <w:sz w:val="22"/>
          <w:szCs w:val="22"/>
        </w:rPr>
        <w:t xml:space="preserve">uenta </w:t>
      </w:r>
      <w:r w:rsidR="00783C87" w:rsidRPr="004F06F2">
        <w:rPr>
          <w:rFonts w:eastAsia="Calibri" w:cs="Times New Roman"/>
          <w:sz w:val="22"/>
          <w:szCs w:val="22"/>
        </w:rPr>
        <w:t>P</w:t>
      </w:r>
      <w:r w:rsidRPr="004F06F2">
        <w:rPr>
          <w:rFonts w:eastAsia="Calibri" w:cs="Times New Roman"/>
          <w:sz w:val="22"/>
          <w:szCs w:val="22"/>
        </w:rPr>
        <w:t xml:space="preserve">ública y los informes periódicos, que deberán constituirse con los estados financieros elaborados con las características que estipulan la Ley General de Contabilidad Gubernamental y las normas y lineamientos emitidos por el Consejo Nacional de Armonización Contable, con los informes que determine la Auditoría Superior de Michoacán en coordinación con la Secretaría y las Tesorerías Municipales correspondientes. </w:t>
      </w:r>
    </w:p>
    <w:p w14:paraId="238A1F35" w14:textId="2FEF69BB" w:rsidR="00BD4F6A" w:rsidRPr="004F06F2" w:rsidRDefault="00BD4F6A" w:rsidP="00CD477C">
      <w:pPr>
        <w:tabs>
          <w:tab w:val="left" w:pos="709"/>
        </w:tabs>
        <w:spacing w:before="0" w:after="0"/>
        <w:rPr>
          <w:rFonts w:eastAsia="Calibri" w:cs="Times New Roman"/>
          <w:sz w:val="22"/>
          <w:szCs w:val="22"/>
        </w:rPr>
      </w:pPr>
    </w:p>
    <w:p w14:paraId="04DBFCDD" w14:textId="171C78AF" w:rsidR="00BD4F6A" w:rsidRPr="004F06F2" w:rsidRDefault="004C47F3" w:rsidP="00CD477C">
      <w:pPr>
        <w:tabs>
          <w:tab w:val="left" w:pos="709"/>
        </w:tabs>
        <w:spacing w:before="0" w:after="0"/>
        <w:rPr>
          <w:rFonts w:eastAsia="Calibri" w:cs="Times New Roman"/>
          <w:sz w:val="22"/>
          <w:szCs w:val="22"/>
        </w:rPr>
      </w:pPr>
      <w:r w:rsidRPr="004F06F2">
        <w:rPr>
          <w:rFonts w:eastAsia="Calibri" w:cs="Times New Roman"/>
          <w:sz w:val="22"/>
          <w:szCs w:val="22"/>
        </w:rPr>
        <w:t>En ese sentido, la Administración Pública Central del Gobierno del Estado de Michoacán de Ocampo adopta las políticas de contabilidad de las disposiciones anteriormente citadas para la elaboración de sus estados financieros y la presentación de informes periódicos.</w:t>
      </w:r>
    </w:p>
    <w:p w14:paraId="06805E24" w14:textId="77777777" w:rsidR="00BD4F6A" w:rsidRPr="004F06F2" w:rsidRDefault="00BD4F6A" w:rsidP="00CD477C">
      <w:pPr>
        <w:spacing w:before="0" w:after="0"/>
        <w:rPr>
          <w:rFonts w:eastAsia="Calibri" w:cs="Times New Roman"/>
          <w:b/>
          <w:sz w:val="22"/>
          <w:szCs w:val="22"/>
        </w:rPr>
      </w:pPr>
    </w:p>
    <w:p w14:paraId="05A832DE" w14:textId="77777777" w:rsidR="00BD4F6A" w:rsidRPr="004F06F2" w:rsidRDefault="00BD4F6A" w:rsidP="00CD477C">
      <w:pPr>
        <w:spacing w:before="0" w:after="0"/>
        <w:ind w:left="720"/>
        <w:rPr>
          <w:rFonts w:eastAsia="Calibri" w:cs="Times New Roman"/>
          <w:b/>
          <w:sz w:val="22"/>
          <w:szCs w:val="22"/>
        </w:rPr>
      </w:pPr>
      <w:r w:rsidRPr="004F06F2">
        <w:rPr>
          <w:rFonts w:eastAsia="Calibri" w:cs="Times New Roman"/>
          <w:b/>
          <w:sz w:val="22"/>
          <w:szCs w:val="22"/>
        </w:rPr>
        <w:lastRenderedPageBreak/>
        <w:t>b)  Normatividad.</w:t>
      </w:r>
    </w:p>
    <w:p w14:paraId="20B4336F" w14:textId="77777777" w:rsidR="00BD4F6A" w:rsidRPr="004F06F2" w:rsidRDefault="00BD4F6A" w:rsidP="00CD477C">
      <w:pPr>
        <w:spacing w:before="0" w:after="0"/>
        <w:rPr>
          <w:rFonts w:eastAsia="Calibri" w:cs="Times New Roman"/>
          <w:sz w:val="22"/>
          <w:szCs w:val="22"/>
        </w:rPr>
      </w:pPr>
    </w:p>
    <w:p w14:paraId="3C25F96C" w14:textId="68B2227F" w:rsidR="00BD4F6A" w:rsidRPr="004F06F2" w:rsidRDefault="00BD4F6A" w:rsidP="00CD477C">
      <w:pPr>
        <w:spacing w:before="0" w:after="0"/>
        <w:rPr>
          <w:rFonts w:eastAsia="Calibri" w:cs="Times New Roman"/>
          <w:sz w:val="22"/>
          <w:szCs w:val="22"/>
        </w:rPr>
      </w:pPr>
      <w:r w:rsidRPr="004F06F2">
        <w:rPr>
          <w:rFonts w:eastAsia="Calibri" w:cs="Times New Roman"/>
          <w:sz w:val="22"/>
          <w:szCs w:val="22"/>
        </w:rPr>
        <w:t>La información que se presenta, corresponde a la Administración Pública Central del Gobierno del Estado Libre y Soberano de Michoacán de Ocampo y contiene la situación financiera, los resultados de operación, las variaciones en la Hacienda Pública, y los flujos de efectivo con las Entidades de la Administración Pública, misma que se elaboró con base a la Ley General de Contabilidad Gubernamental, la normatividad emitida tanto por el Consejo Nacional de Armonización Contable, como por el Consejo Estatal de Armonización Contable, la Ley de Planeación Hacendaria, Presupuesto, Gasto Público y Contabilidad Gubernamental del Estado de Michoacán de Ocampo, así como con apego al Decreto del Presupuesto de Egresos Estatal y la Ley de Ingresos para el ejercicio fiscal 202</w:t>
      </w:r>
      <w:r w:rsidR="00DD6C98" w:rsidRPr="004F06F2">
        <w:rPr>
          <w:rFonts w:eastAsia="Calibri" w:cs="Times New Roman"/>
          <w:sz w:val="22"/>
          <w:szCs w:val="22"/>
        </w:rPr>
        <w:t>4</w:t>
      </w:r>
      <w:r w:rsidRPr="004F06F2">
        <w:rPr>
          <w:rFonts w:eastAsia="Calibri" w:cs="Times New Roman"/>
          <w:sz w:val="22"/>
          <w:szCs w:val="22"/>
        </w:rPr>
        <w:t xml:space="preserve"> y las demás disposiciones normativas y jurídicas vigentes para el Estado de Michoacán de Ocampo.</w:t>
      </w:r>
    </w:p>
    <w:p w14:paraId="17DE84BF" w14:textId="77777777" w:rsidR="00BD4F6A" w:rsidRPr="004F06F2" w:rsidRDefault="00BD4F6A" w:rsidP="00CD477C">
      <w:pPr>
        <w:spacing w:before="0" w:after="0"/>
        <w:rPr>
          <w:rFonts w:eastAsia="Calibri" w:cs="Times New Roman"/>
          <w:sz w:val="22"/>
          <w:szCs w:val="22"/>
        </w:rPr>
      </w:pPr>
    </w:p>
    <w:p w14:paraId="4E974510" w14:textId="77777777" w:rsidR="00BD4F6A" w:rsidRPr="004F06F2" w:rsidRDefault="00BD4F6A" w:rsidP="00CD477C">
      <w:pPr>
        <w:spacing w:before="0" w:after="0"/>
        <w:rPr>
          <w:rFonts w:eastAsia="Calibri" w:cs="Times New Roman"/>
          <w:sz w:val="22"/>
          <w:szCs w:val="22"/>
        </w:rPr>
      </w:pPr>
      <w:r w:rsidRPr="004F06F2">
        <w:rPr>
          <w:rFonts w:eastAsia="Calibri" w:cs="Times New Roman"/>
          <w:sz w:val="22"/>
          <w:szCs w:val="22"/>
        </w:rPr>
        <w:t>Sabiendo que los elementos que configuran el Sistema de Contabilidad Gubernamental tienen incidencia en la identificación, el análisis, la interpretación y el reconocimiento de las transacciones y otros eventos que influyen en los entes públicos, los postulados básicos y los momentos contables del ingreso, gasto y financiamiento, sustentan de manera técnica el registro de las operaciones, la elaboración y presentación de los estados financieros basados en su razonamiento, eficiencia y eficacia demostradas, respaldados en la legislación federal y local; con lo cual, se garantiza su transparencia, así como la comparación de la información financiera presentada.</w:t>
      </w:r>
    </w:p>
    <w:p w14:paraId="1C416110" w14:textId="77777777" w:rsidR="00BD4F6A" w:rsidRPr="004F06F2" w:rsidRDefault="00BD4F6A" w:rsidP="00CD477C">
      <w:pPr>
        <w:spacing w:before="0" w:after="0"/>
        <w:ind w:left="709"/>
        <w:rPr>
          <w:rFonts w:eastAsia="Calibri" w:cs="Times New Roman"/>
          <w:sz w:val="22"/>
          <w:szCs w:val="22"/>
        </w:rPr>
      </w:pPr>
    </w:p>
    <w:p w14:paraId="13356C05" w14:textId="4D781873" w:rsidR="00BD4F6A" w:rsidRPr="004F06F2" w:rsidRDefault="00BD4F6A" w:rsidP="00CD477C">
      <w:pPr>
        <w:spacing w:before="0" w:after="0"/>
        <w:rPr>
          <w:rFonts w:eastAsia="Calibri" w:cs="Times New Roman"/>
          <w:sz w:val="22"/>
          <w:szCs w:val="22"/>
        </w:rPr>
      </w:pPr>
      <w:r w:rsidRPr="004F06F2">
        <w:rPr>
          <w:rFonts w:eastAsia="Calibri" w:cs="Times New Roman"/>
          <w:sz w:val="22"/>
          <w:szCs w:val="22"/>
        </w:rPr>
        <w:t xml:space="preserve">Para el </w:t>
      </w:r>
      <w:r w:rsidR="00CE72CD">
        <w:rPr>
          <w:rFonts w:eastAsia="Calibri" w:cs="Times New Roman"/>
          <w:sz w:val="22"/>
          <w:szCs w:val="22"/>
        </w:rPr>
        <w:t xml:space="preserve">periodo que se informa de este año de </w:t>
      </w:r>
      <w:r w:rsidRPr="004F06F2">
        <w:rPr>
          <w:rFonts w:eastAsia="Calibri" w:cs="Times New Roman"/>
          <w:sz w:val="22"/>
          <w:szCs w:val="22"/>
        </w:rPr>
        <w:t>202</w:t>
      </w:r>
      <w:r w:rsidR="00DD6C98" w:rsidRPr="004F06F2">
        <w:rPr>
          <w:rFonts w:eastAsia="Calibri" w:cs="Times New Roman"/>
          <w:sz w:val="22"/>
          <w:szCs w:val="22"/>
        </w:rPr>
        <w:t>4</w:t>
      </w:r>
      <w:r w:rsidRPr="004F06F2">
        <w:rPr>
          <w:rFonts w:eastAsia="Calibri" w:cs="Times New Roman"/>
          <w:sz w:val="22"/>
          <w:szCs w:val="22"/>
        </w:rPr>
        <w:t>, se han observado puntualmente las disposiciones contenidas en la Ley de Planeación Hacendaria, Presupuesto, Gasto Público y Contabilidad Gubernamental del Estado de Michoacán de Ocampo, el Decreto que Contiene el Presupuesto de Egresos del Gobierno del Estado de Michoacán de Ocampo para el Ejercicio Fiscal del Año 202</w:t>
      </w:r>
      <w:r w:rsidR="00DD6C98" w:rsidRPr="004F06F2">
        <w:rPr>
          <w:rFonts w:eastAsia="Calibri" w:cs="Times New Roman"/>
          <w:sz w:val="22"/>
          <w:szCs w:val="22"/>
        </w:rPr>
        <w:t>4</w:t>
      </w:r>
      <w:r w:rsidRPr="004F06F2">
        <w:rPr>
          <w:rFonts w:eastAsia="Calibri" w:cs="Times New Roman"/>
          <w:sz w:val="22"/>
          <w:szCs w:val="22"/>
        </w:rPr>
        <w:t>, así como en la Ley de Ingresos del Estado de Michoacán de Ocampo para el mismo ejercicio y demás disposiciones fiscales, jurídicas y administrativas relacionadas con el manejo de los ingresos y del ejercicio del presupuesto de egresos del Gobierno del Estado.</w:t>
      </w:r>
    </w:p>
    <w:p w14:paraId="037DC10E" w14:textId="77777777" w:rsidR="00BD4F6A" w:rsidRPr="004F06F2" w:rsidRDefault="00BD4F6A" w:rsidP="00CD477C">
      <w:pPr>
        <w:spacing w:before="0" w:after="0"/>
        <w:rPr>
          <w:rFonts w:eastAsia="Calibri" w:cs="Times New Roman"/>
          <w:sz w:val="22"/>
          <w:szCs w:val="22"/>
        </w:rPr>
      </w:pPr>
    </w:p>
    <w:p w14:paraId="0A63E345" w14:textId="77777777" w:rsidR="00BD4F6A" w:rsidRPr="004F06F2" w:rsidRDefault="00BD4F6A" w:rsidP="00CD477C">
      <w:pPr>
        <w:spacing w:before="0" w:after="0"/>
        <w:rPr>
          <w:rFonts w:eastAsia="Calibri" w:cs="Times New Roman"/>
          <w:sz w:val="22"/>
          <w:szCs w:val="22"/>
        </w:rPr>
      </w:pPr>
      <w:r w:rsidRPr="004F06F2">
        <w:rPr>
          <w:rFonts w:eastAsia="Calibri" w:cs="Times New Roman"/>
          <w:sz w:val="22"/>
          <w:szCs w:val="22"/>
        </w:rPr>
        <w:t>Considerando lo anterior, los registros contables se realizan con base acumulativa y la contabilización de las transacciones del gasto se efectúa conforme a la fecha de su realización, independientemente de la de su pago y la del ingreso se registra cuando existe jurídicamente el derecho de cobro, lo que facilita la formulación de los estados financieros y demás informes que permiten conocer la Situación Financiera y el Resultado de la Gestión Financiera (Estado de Actividades), además de permitir la evaluación del ejercicio del gasto público conforme a los programas, objetivos, metas y unidades responsables de su ejecución, de acuerdo a lo dispuesto en los artículos 33, 34, 35 y 36 de la Ley General de Contabilidad Gubernamental, así como los artículos 66 y 86 de la Ley de Planeación Hacendaria, Presupuesto, Gasto Público y Contabilidad Gubernamental del Estado de Michoacán de Ocampo, y del Postulado Básico de Contabilidad Gubernamental en lo que se refiere a la consistencia.</w:t>
      </w:r>
    </w:p>
    <w:p w14:paraId="351295D9" w14:textId="77777777" w:rsidR="00BD4F6A" w:rsidRPr="004F06F2" w:rsidRDefault="00BD4F6A" w:rsidP="00CD477C">
      <w:pPr>
        <w:spacing w:before="0" w:after="0"/>
        <w:rPr>
          <w:rFonts w:eastAsia="Calibri" w:cs="Times New Roman"/>
          <w:sz w:val="22"/>
          <w:szCs w:val="22"/>
        </w:rPr>
      </w:pPr>
    </w:p>
    <w:p w14:paraId="453EFA61" w14:textId="539FDC23" w:rsidR="00BD4F6A" w:rsidRPr="004F06F2" w:rsidRDefault="004C47F3" w:rsidP="00CD477C">
      <w:pPr>
        <w:spacing w:before="0" w:after="0"/>
        <w:rPr>
          <w:rFonts w:eastAsia="Calibri" w:cs="Times New Roman"/>
          <w:sz w:val="22"/>
          <w:szCs w:val="22"/>
        </w:rPr>
      </w:pPr>
      <w:r w:rsidRPr="004F06F2">
        <w:rPr>
          <w:rFonts w:eastAsia="Calibri" w:cs="Times New Roman"/>
          <w:sz w:val="22"/>
          <w:szCs w:val="22"/>
        </w:rPr>
        <w:t xml:space="preserve">En la contabilidad de la Hacienda Pública Estatal, con fundamento en lo establecido en el artículo 88 fracción III de la Ley de Planeación Hacendaria, Presupuesto, Gasto Público </w:t>
      </w:r>
      <w:r w:rsidR="00CA6759">
        <w:rPr>
          <w:rFonts w:eastAsia="Calibri" w:cs="Times New Roman"/>
          <w:sz w:val="22"/>
          <w:szCs w:val="22"/>
        </w:rPr>
        <w:t>y</w:t>
      </w:r>
      <w:r w:rsidRPr="004F06F2">
        <w:rPr>
          <w:rFonts w:eastAsia="Calibri" w:cs="Times New Roman"/>
          <w:sz w:val="22"/>
          <w:szCs w:val="22"/>
        </w:rPr>
        <w:t xml:space="preserve"> Contabilidad Gubernamental </w:t>
      </w:r>
      <w:r w:rsidR="00CA6759">
        <w:rPr>
          <w:rFonts w:eastAsia="Calibri" w:cs="Times New Roman"/>
          <w:sz w:val="22"/>
          <w:szCs w:val="22"/>
        </w:rPr>
        <w:t>d</w:t>
      </w:r>
      <w:r w:rsidRPr="004F06F2">
        <w:rPr>
          <w:rFonts w:eastAsia="Calibri" w:cs="Times New Roman"/>
          <w:sz w:val="22"/>
          <w:szCs w:val="22"/>
        </w:rPr>
        <w:t>el Estado De Michoacán, se muestran los estados analíticos sobre deuda pública, los cuales tienen como finalidad realizar periódicamente el seguimiento del ejercicio de los egresos presupuestarios.</w:t>
      </w:r>
    </w:p>
    <w:p w14:paraId="67246B84" w14:textId="77777777" w:rsidR="004C47F3" w:rsidRPr="004F06F2" w:rsidRDefault="004C47F3" w:rsidP="00CD477C">
      <w:pPr>
        <w:spacing w:before="0" w:after="0"/>
        <w:rPr>
          <w:rFonts w:eastAsia="Calibri" w:cs="Times New Roman"/>
          <w:b/>
          <w:sz w:val="22"/>
          <w:szCs w:val="22"/>
        </w:rPr>
      </w:pPr>
    </w:p>
    <w:p w14:paraId="1C184244" w14:textId="6D265F47" w:rsidR="00BD4F6A" w:rsidRPr="004F06F2" w:rsidRDefault="00BD4F6A" w:rsidP="00CD477C">
      <w:pPr>
        <w:spacing w:before="0" w:after="0"/>
        <w:ind w:left="720"/>
        <w:rPr>
          <w:rFonts w:eastAsia="Calibri" w:cs="Times New Roman"/>
          <w:b/>
          <w:sz w:val="22"/>
          <w:szCs w:val="22"/>
        </w:rPr>
      </w:pPr>
      <w:r w:rsidRPr="004F06F2">
        <w:rPr>
          <w:rFonts w:eastAsia="Calibri" w:cs="Times New Roman"/>
          <w:b/>
          <w:sz w:val="22"/>
          <w:szCs w:val="22"/>
        </w:rPr>
        <w:t>c). Postulados básicos</w:t>
      </w:r>
      <w:r w:rsidR="00860C1E" w:rsidRPr="004F06F2">
        <w:rPr>
          <w:rFonts w:eastAsia="Calibri" w:cs="Times New Roman"/>
          <w:b/>
          <w:sz w:val="22"/>
          <w:szCs w:val="22"/>
        </w:rPr>
        <w:t xml:space="preserve"> de Contabilidad Gubernamental</w:t>
      </w:r>
      <w:r w:rsidRPr="004F06F2">
        <w:rPr>
          <w:rFonts w:eastAsia="Calibri" w:cs="Times New Roman"/>
          <w:b/>
          <w:sz w:val="22"/>
          <w:szCs w:val="22"/>
        </w:rPr>
        <w:t>.</w:t>
      </w:r>
    </w:p>
    <w:p w14:paraId="69B2FB2D" w14:textId="77777777" w:rsidR="00BD4F6A" w:rsidRPr="004F06F2" w:rsidRDefault="00BD4F6A" w:rsidP="00CD477C">
      <w:pPr>
        <w:spacing w:before="0" w:after="0"/>
        <w:rPr>
          <w:rFonts w:eastAsia="Calibri" w:cs="Times New Roman"/>
          <w:sz w:val="22"/>
          <w:szCs w:val="22"/>
        </w:rPr>
      </w:pPr>
    </w:p>
    <w:p w14:paraId="125ACA56" w14:textId="540BA345" w:rsidR="00BD4F6A" w:rsidRDefault="00BD4F6A" w:rsidP="00CD477C">
      <w:pPr>
        <w:spacing w:before="0" w:after="0"/>
        <w:rPr>
          <w:rFonts w:eastAsia="Calibri" w:cs="Times New Roman"/>
          <w:sz w:val="22"/>
          <w:szCs w:val="22"/>
        </w:rPr>
      </w:pPr>
      <w:r w:rsidRPr="004F06F2">
        <w:rPr>
          <w:rFonts w:eastAsia="Calibri" w:cs="Times New Roman"/>
          <w:sz w:val="22"/>
          <w:szCs w:val="22"/>
        </w:rPr>
        <w:t>Las Políticas Contables de la Administración Pública Central del Gobierno del Estado Libre y Soberano de Michoacán de Ocampo; se fundamentan en los postulados básicos de contabilidad gubernamental que configuran el sistema de contabilidad, teniendo incidencia en la identificación, el análisis, la interpretación, la captación, el procesamiento y el reconocimiento de las transformaciones, transacciones y otros eventos que lo afectan. Estos postulados, son los aprobados por el Consejo Nacional de Armonización Contable.</w:t>
      </w:r>
    </w:p>
    <w:p w14:paraId="7625262C" w14:textId="77777777" w:rsidR="00CA6759" w:rsidRDefault="00CA6759" w:rsidP="00CD477C">
      <w:pPr>
        <w:spacing w:before="0" w:after="0"/>
        <w:rPr>
          <w:rFonts w:eastAsia="Calibri" w:cs="Times New Roman"/>
          <w:sz w:val="22"/>
          <w:szCs w:val="22"/>
        </w:rPr>
      </w:pPr>
    </w:p>
    <w:p w14:paraId="0A364EBD" w14:textId="77777777" w:rsidR="00CA6759" w:rsidRPr="004F06F2" w:rsidRDefault="00CA6759" w:rsidP="00CD477C">
      <w:pPr>
        <w:spacing w:before="0" w:after="0"/>
        <w:rPr>
          <w:rFonts w:eastAsia="Calibri" w:cs="Times New Roman"/>
          <w:sz w:val="22"/>
          <w:szCs w:val="22"/>
        </w:rPr>
      </w:pPr>
    </w:p>
    <w:p w14:paraId="442B20AC" w14:textId="6862B07A" w:rsidR="00860C1E" w:rsidRPr="004F06F2" w:rsidRDefault="00860C1E" w:rsidP="00CD477C">
      <w:pPr>
        <w:spacing w:before="0" w:after="0"/>
        <w:ind w:left="720"/>
        <w:rPr>
          <w:rFonts w:eastAsia="Calibri" w:cs="Times New Roman"/>
          <w:b/>
          <w:sz w:val="22"/>
          <w:szCs w:val="22"/>
        </w:rPr>
      </w:pPr>
      <w:r w:rsidRPr="004F06F2">
        <w:rPr>
          <w:rFonts w:eastAsia="Calibri" w:cs="Times New Roman"/>
          <w:b/>
          <w:sz w:val="22"/>
          <w:szCs w:val="22"/>
        </w:rPr>
        <w:lastRenderedPageBreak/>
        <w:t>d) Normatividad Supletoria</w:t>
      </w:r>
    </w:p>
    <w:p w14:paraId="2D1917DB" w14:textId="36B4F6BD" w:rsidR="00860C1E" w:rsidRPr="004F06F2" w:rsidRDefault="00860C1E" w:rsidP="00CD477C">
      <w:pPr>
        <w:spacing w:before="0" w:after="0"/>
        <w:rPr>
          <w:rFonts w:eastAsia="Calibri" w:cs="Times New Roman"/>
          <w:sz w:val="22"/>
          <w:szCs w:val="22"/>
        </w:rPr>
      </w:pPr>
    </w:p>
    <w:p w14:paraId="576A83C1" w14:textId="7F7C0C3D" w:rsidR="00860C1E" w:rsidRPr="004F06F2" w:rsidRDefault="00860C1E" w:rsidP="00CD477C">
      <w:pPr>
        <w:spacing w:before="0" w:after="0"/>
        <w:rPr>
          <w:rFonts w:eastAsia="Calibri" w:cs="Times New Roman"/>
          <w:sz w:val="22"/>
          <w:szCs w:val="22"/>
        </w:rPr>
      </w:pPr>
      <w:r w:rsidRPr="004F06F2">
        <w:rPr>
          <w:rFonts w:eastAsia="Calibri" w:cs="Times New Roman"/>
          <w:sz w:val="22"/>
          <w:szCs w:val="22"/>
        </w:rPr>
        <w:t>No se aplica normatividad de manera supletoria para la elaboración de los Estados Financieros.</w:t>
      </w:r>
    </w:p>
    <w:p w14:paraId="2F525C13" w14:textId="05A30AE4" w:rsidR="00860C1E" w:rsidRPr="004F06F2" w:rsidRDefault="00860C1E" w:rsidP="00CD477C">
      <w:pPr>
        <w:spacing w:before="0" w:after="0"/>
        <w:rPr>
          <w:rFonts w:eastAsia="Calibri" w:cs="Times New Roman"/>
          <w:sz w:val="22"/>
          <w:szCs w:val="22"/>
        </w:rPr>
      </w:pPr>
    </w:p>
    <w:p w14:paraId="5AE572F7" w14:textId="620FF682" w:rsidR="00860C1E" w:rsidRPr="004F06F2" w:rsidRDefault="00860C1E" w:rsidP="00CD477C">
      <w:pPr>
        <w:spacing w:before="0" w:after="0"/>
        <w:ind w:left="720"/>
        <w:rPr>
          <w:rFonts w:eastAsia="Calibri" w:cs="Times New Roman"/>
          <w:b/>
          <w:sz w:val="22"/>
          <w:szCs w:val="22"/>
        </w:rPr>
      </w:pPr>
      <w:r w:rsidRPr="004F06F2">
        <w:rPr>
          <w:rFonts w:eastAsia="Calibri" w:cs="Times New Roman"/>
          <w:b/>
          <w:sz w:val="22"/>
          <w:szCs w:val="22"/>
        </w:rPr>
        <w:t>e) Entidades que por primera vez apliquen la base del devengado</w:t>
      </w:r>
    </w:p>
    <w:p w14:paraId="1970CECB" w14:textId="17B9F500" w:rsidR="00860C1E" w:rsidRPr="004F06F2" w:rsidRDefault="00860C1E" w:rsidP="00CD477C">
      <w:pPr>
        <w:spacing w:before="0" w:after="0"/>
        <w:rPr>
          <w:rFonts w:eastAsia="Calibri" w:cs="Times New Roman"/>
          <w:sz w:val="22"/>
          <w:szCs w:val="22"/>
        </w:rPr>
      </w:pPr>
    </w:p>
    <w:p w14:paraId="53F8BDC4" w14:textId="54EE86E1" w:rsidR="00860C1E" w:rsidRPr="004F06F2" w:rsidRDefault="00860C1E" w:rsidP="00CD477C">
      <w:pPr>
        <w:spacing w:before="0" w:after="0"/>
        <w:rPr>
          <w:rFonts w:eastAsia="Calibri" w:cs="Times New Roman"/>
          <w:sz w:val="22"/>
          <w:szCs w:val="22"/>
        </w:rPr>
      </w:pPr>
      <w:r w:rsidRPr="004F06F2">
        <w:rPr>
          <w:rFonts w:eastAsia="Calibri" w:cs="Times New Roman"/>
          <w:sz w:val="22"/>
          <w:szCs w:val="22"/>
        </w:rPr>
        <w:t>Este punto no aplica para el Gobierno del Estado de Michoacán.</w:t>
      </w:r>
    </w:p>
    <w:p w14:paraId="401108AE" w14:textId="77777777" w:rsidR="00BD4F6A" w:rsidRPr="004F06F2" w:rsidRDefault="00BD4F6A" w:rsidP="00CD477C">
      <w:pPr>
        <w:spacing w:before="0" w:after="0"/>
        <w:rPr>
          <w:rFonts w:eastAsia="Calibri" w:cs="Times New Roman"/>
          <w:sz w:val="22"/>
          <w:szCs w:val="22"/>
        </w:rPr>
      </w:pPr>
    </w:p>
    <w:p w14:paraId="6886C0F8" w14:textId="2A32BB20" w:rsidR="00BD4F6A" w:rsidRPr="004F06F2" w:rsidRDefault="00860C1E" w:rsidP="00CD477C">
      <w:pPr>
        <w:spacing w:before="0" w:after="0"/>
        <w:rPr>
          <w:rFonts w:eastAsia="Calibri" w:cs="Times New Roman"/>
          <w:b/>
          <w:bCs/>
          <w:sz w:val="22"/>
          <w:szCs w:val="22"/>
        </w:rPr>
      </w:pPr>
      <w:r w:rsidRPr="004F06F2">
        <w:rPr>
          <w:rFonts w:eastAsia="Calibri" w:cs="Times New Roman"/>
          <w:b/>
          <w:bCs/>
          <w:sz w:val="22"/>
          <w:szCs w:val="22"/>
        </w:rPr>
        <w:t>5</w:t>
      </w:r>
      <w:r w:rsidR="00BD4F6A" w:rsidRPr="004F06F2">
        <w:rPr>
          <w:rFonts w:eastAsia="Calibri" w:cs="Times New Roman"/>
          <w:b/>
          <w:bCs/>
          <w:sz w:val="22"/>
          <w:szCs w:val="22"/>
        </w:rPr>
        <w:t>.- Políticas de Contabilidad Significativas.</w:t>
      </w:r>
    </w:p>
    <w:p w14:paraId="14A5C80F" w14:textId="77777777" w:rsidR="00BD4F6A" w:rsidRPr="004F06F2" w:rsidRDefault="00BD4F6A" w:rsidP="00CD477C">
      <w:pPr>
        <w:spacing w:before="0" w:after="0"/>
        <w:ind w:left="720"/>
        <w:rPr>
          <w:rFonts w:eastAsia="Calibri" w:cs="Times New Roman"/>
          <w:b/>
          <w:sz w:val="22"/>
          <w:szCs w:val="22"/>
        </w:rPr>
      </w:pPr>
    </w:p>
    <w:p w14:paraId="36F89262" w14:textId="77777777" w:rsidR="00BD4F6A" w:rsidRPr="004F06F2" w:rsidRDefault="00BD4F6A" w:rsidP="00CD477C">
      <w:pPr>
        <w:spacing w:before="0" w:after="0"/>
        <w:ind w:left="720"/>
        <w:rPr>
          <w:rFonts w:eastAsia="Calibri" w:cs="Times New Roman"/>
          <w:b/>
          <w:sz w:val="22"/>
          <w:szCs w:val="22"/>
        </w:rPr>
      </w:pPr>
      <w:r w:rsidRPr="004F06F2">
        <w:rPr>
          <w:rFonts w:eastAsia="Calibri" w:cs="Times New Roman"/>
          <w:b/>
          <w:sz w:val="22"/>
          <w:szCs w:val="22"/>
        </w:rPr>
        <w:t>a)  Actualización del valor de los activos.</w:t>
      </w:r>
    </w:p>
    <w:p w14:paraId="557B5288" w14:textId="77777777" w:rsidR="00F40D4E" w:rsidRPr="004F06F2" w:rsidRDefault="00F40D4E" w:rsidP="00F40D4E">
      <w:pPr>
        <w:spacing w:before="0" w:after="0"/>
        <w:rPr>
          <w:rFonts w:eastAsia="Calibri" w:cs="Times New Roman"/>
          <w:bCs/>
          <w:sz w:val="22"/>
          <w:szCs w:val="22"/>
        </w:rPr>
      </w:pPr>
      <w:r w:rsidRPr="004F06F2">
        <w:rPr>
          <w:rFonts w:eastAsia="Calibri" w:cs="Times New Roman"/>
          <w:bCs/>
          <w:sz w:val="22"/>
          <w:szCs w:val="22"/>
        </w:rPr>
        <w:t>Con el  propósito de dar cumplimiento a los Artículos 46 fracción I inciso e y 49 de la Ley de General de Contabilidad Gubernamental (LGCG), y el Acuerdo por el que se emiten los Postulados Básicos de Contabilidad Gubernamental, como son Revelación Suficiente e Importancia Relativa, que sustentan de manera técnica el registro de las operaciones, la elaboración y presentación de los estados financieros; basados en su razonamientos, eficiencia demostrada, respaldo en legislación especializada y aplicada la LGCG, con la finalidad de uniformar los métodos, procedimientos y prácticas contables del Artículo 23 al 32 de la LGCG, asimismo lo establece el Acuerdo por el que se determina la norma de información financiera para precisar los alcances del Acuerdo 1 aprobado por el Consejo Nacional de Armonización Contable (CONAC), en reunión del 3 de mayo de 2013 publicado el 16 de mayo 2013, de la misma forma la Normatividad Estatal.</w:t>
      </w:r>
    </w:p>
    <w:p w14:paraId="0C5F4048" w14:textId="77777777" w:rsidR="00214D48" w:rsidRDefault="00214D48" w:rsidP="00F40D4E">
      <w:pPr>
        <w:spacing w:before="0" w:after="0"/>
        <w:rPr>
          <w:rFonts w:eastAsia="Calibri" w:cs="Times New Roman"/>
          <w:bCs/>
          <w:sz w:val="22"/>
          <w:szCs w:val="22"/>
        </w:rPr>
      </w:pPr>
    </w:p>
    <w:p w14:paraId="42471D44" w14:textId="771A11FB" w:rsidR="0055183B" w:rsidRPr="004F06F2" w:rsidRDefault="00F40D4E" w:rsidP="00F40D4E">
      <w:pPr>
        <w:spacing w:before="0" w:after="0"/>
        <w:rPr>
          <w:rFonts w:eastAsia="Calibri" w:cs="Times New Roman"/>
          <w:bCs/>
          <w:sz w:val="22"/>
          <w:szCs w:val="22"/>
        </w:rPr>
      </w:pPr>
      <w:r w:rsidRPr="004F06F2">
        <w:rPr>
          <w:rFonts w:eastAsia="Calibri" w:cs="Times New Roman"/>
          <w:bCs/>
          <w:sz w:val="22"/>
          <w:szCs w:val="22"/>
        </w:rPr>
        <w:t>Se sigue realizando el inventario físico con las verificaciones periódicas que realiza la Dirección de Patrimonio Estatal, de las existencias de los bienes muebles e inmuebles, con que cuenta el ente público, y algunas de las cifras, están sujetas al programa de depuración, considerando que existan cambios en criterios contables y cambios en las estimaciones contables de conformidad con la LGCG, asimismo, es necesario considerar el presente Lineamiento denominado, Acuerdo por el que se emite las reglas específicas del registro y valoración del patrimonio en el numeral 16.1, 16.2 y 16.3.</w:t>
      </w:r>
    </w:p>
    <w:p w14:paraId="40BCA682" w14:textId="77777777" w:rsidR="0055183B" w:rsidRPr="004F06F2" w:rsidRDefault="0055183B" w:rsidP="00CD477C">
      <w:pPr>
        <w:spacing w:before="0" w:after="0"/>
        <w:rPr>
          <w:rFonts w:eastAsia="Calibri" w:cs="Times New Roman"/>
          <w:bCs/>
          <w:sz w:val="22"/>
          <w:szCs w:val="22"/>
        </w:rPr>
      </w:pPr>
    </w:p>
    <w:p w14:paraId="25DF026C" w14:textId="77777777" w:rsidR="00BD4F6A" w:rsidRPr="004F06F2" w:rsidRDefault="00BD4F6A" w:rsidP="00CD477C">
      <w:pPr>
        <w:spacing w:before="0" w:after="0"/>
        <w:ind w:left="720"/>
        <w:rPr>
          <w:rFonts w:eastAsia="Calibri" w:cs="Times New Roman"/>
          <w:b/>
          <w:sz w:val="22"/>
          <w:szCs w:val="22"/>
        </w:rPr>
      </w:pPr>
      <w:r w:rsidRPr="004F06F2">
        <w:rPr>
          <w:rFonts w:eastAsia="Calibri" w:cs="Times New Roman"/>
          <w:b/>
          <w:sz w:val="22"/>
          <w:szCs w:val="22"/>
        </w:rPr>
        <w:lastRenderedPageBreak/>
        <w:t>b) Informar sobre la realización de operaciones en el extranjero y de sus efectos en la información financiera gubernamental.</w:t>
      </w:r>
    </w:p>
    <w:p w14:paraId="14D16D54" w14:textId="77777777" w:rsidR="003E2C2C" w:rsidRPr="004F06F2" w:rsidRDefault="003E2C2C" w:rsidP="00CD477C">
      <w:pPr>
        <w:spacing w:before="0" w:after="0"/>
        <w:ind w:left="720"/>
        <w:rPr>
          <w:rFonts w:eastAsia="Calibri" w:cs="Times New Roman"/>
          <w:b/>
          <w:sz w:val="22"/>
          <w:szCs w:val="22"/>
        </w:rPr>
      </w:pPr>
    </w:p>
    <w:p w14:paraId="776CB32F" w14:textId="77777777" w:rsidR="00BD4F6A" w:rsidRPr="004F06F2" w:rsidRDefault="00BD4F6A" w:rsidP="00CD477C">
      <w:pPr>
        <w:spacing w:before="0" w:after="0"/>
        <w:rPr>
          <w:rFonts w:eastAsia="Calibri" w:cs="Times New Roman"/>
          <w:bCs/>
          <w:sz w:val="22"/>
          <w:szCs w:val="22"/>
        </w:rPr>
      </w:pPr>
      <w:r w:rsidRPr="004F06F2">
        <w:rPr>
          <w:rFonts w:eastAsia="Calibri" w:cs="Times New Roman"/>
          <w:bCs/>
          <w:sz w:val="22"/>
          <w:szCs w:val="22"/>
        </w:rPr>
        <w:t>El Gobierno del Estado de Michoacán no realiza operaciones en el extranjero.</w:t>
      </w:r>
    </w:p>
    <w:p w14:paraId="0783281C" w14:textId="77777777" w:rsidR="00A45832" w:rsidRPr="004F06F2" w:rsidRDefault="00A45832" w:rsidP="00CD477C">
      <w:pPr>
        <w:spacing w:before="0" w:after="0"/>
        <w:ind w:left="720"/>
        <w:rPr>
          <w:rFonts w:eastAsia="Calibri" w:cs="Times New Roman"/>
          <w:b/>
          <w:sz w:val="22"/>
          <w:szCs w:val="22"/>
        </w:rPr>
      </w:pPr>
    </w:p>
    <w:p w14:paraId="7E1C0D1E" w14:textId="7CC75E8C" w:rsidR="00BD4F6A" w:rsidRPr="004F06F2" w:rsidRDefault="00BD4F6A" w:rsidP="00CD477C">
      <w:pPr>
        <w:spacing w:before="0" w:after="0"/>
        <w:ind w:left="720"/>
        <w:rPr>
          <w:rFonts w:eastAsia="Calibri" w:cs="Times New Roman"/>
          <w:b/>
          <w:sz w:val="22"/>
          <w:szCs w:val="22"/>
        </w:rPr>
      </w:pPr>
      <w:r w:rsidRPr="004F06F2">
        <w:rPr>
          <w:rFonts w:eastAsia="Calibri" w:cs="Times New Roman"/>
          <w:b/>
          <w:sz w:val="22"/>
          <w:szCs w:val="22"/>
        </w:rPr>
        <w:t>c) Método de valuación en acciones de Compañías subsidiarias no consolidadas.</w:t>
      </w:r>
    </w:p>
    <w:p w14:paraId="153037BB" w14:textId="77777777" w:rsidR="00BD4F6A" w:rsidRPr="004F06F2" w:rsidRDefault="00BD4F6A" w:rsidP="00CD477C">
      <w:pPr>
        <w:spacing w:before="0" w:after="0"/>
        <w:rPr>
          <w:rFonts w:eastAsia="Calibri" w:cs="Times New Roman"/>
          <w:bCs/>
          <w:sz w:val="22"/>
          <w:szCs w:val="22"/>
        </w:rPr>
      </w:pPr>
      <w:r w:rsidRPr="004F06F2">
        <w:rPr>
          <w:rFonts w:eastAsia="Calibri" w:cs="Times New Roman"/>
          <w:bCs/>
          <w:sz w:val="22"/>
          <w:szCs w:val="22"/>
        </w:rPr>
        <w:t>El Gobierno del Estado de Michoacán no cuenta con acciones en compañías subsidiarias no consolidadas.</w:t>
      </w:r>
    </w:p>
    <w:p w14:paraId="15A685D4" w14:textId="77777777" w:rsidR="00F8515A" w:rsidRPr="004F06F2" w:rsidRDefault="00F8515A" w:rsidP="00CD477C">
      <w:pPr>
        <w:spacing w:before="0" w:after="0"/>
        <w:ind w:left="720"/>
        <w:rPr>
          <w:rFonts w:eastAsia="Calibri" w:cs="Times New Roman"/>
          <w:b/>
          <w:sz w:val="22"/>
          <w:szCs w:val="22"/>
        </w:rPr>
      </w:pPr>
    </w:p>
    <w:p w14:paraId="48277993" w14:textId="2F16B83B" w:rsidR="00BD4F6A" w:rsidRPr="004F06F2" w:rsidRDefault="00BD4F6A" w:rsidP="00CD477C">
      <w:pPr>
        <w:spacing w:before="0" w:after="0"/>
        <w:ind w:left="720"/>
        <w:rPr>
          <w:rFonts w:eastAsia="Calibri" w:cs="Times New Roman"/>
          <w:b/>
          <w:sz w:val="22"/>
          <w:szCs w:val="22"/>
        </w:rPr>
      </w:pPr>
      <w:r w:rsidRPr="004F06F2">
        <w:rPr>
          <w:rFonts w:eastAsia="Calibri" w:cs="Times New Roman"/>
          <w:b/>
          <w:sz w:val="22"/>
          <w:szCs w:val="22"/>
        </w:rPr>
        <w:t>d) Sistema y costo de valuación del costo de lo vendido.</w:t>
      </w:r>
    </w:p>
    <w:p w14:paraId="04001409" w14:textId="754249AE" w:rsidR="00A45832" w:rsidRPr="004F06F2" w:rsidRDefault="00A45832" w:rsidP="00CD477C">
      <w:pPr>
        <w:spacing w:before="0" w:after="0"/>
        <w:rPr>
          <w:rFonts w:eastAsia="Calibri" w:cs="Times New Roman"/>
          <w:bCs/>
          <w:sz w:val="22"/>
          <w:szCs w:val="22"/>
        </w:rPr>
      </w:pPr>
    </w:p>
    <w:p w14:paraId="2D6FE707" w14:textId="4B3E3FC0" w:rsidR="00BD4F6A" w:rsidRPr="004F06F2" w:rsidRDefault="00BD4F6A" w:rsidP="00CD477C">
      <w:pPr>
        <w:spacing w:before="0" w:after="0"/>
        <w:rPr>
          <w:rFonts w:eastAsia="Calibri" w:cs="Times New Roman"/>
          <w:bCs/>
          <w:sz w:val="22"/>
          <w:szCs w:val="22"/>
        </w:rPr>
      </w:pPr>
      <w:r w:rsidRPr="004F06F2">
        <w:rPr>
          <w:rFonts w:eastAsia="Calibri" w:cs="Times New Roman"/>
          <w:bCs/>
          <w:sz w:val="22"/>
          <w:szCs w:val="22"/>
        </w:rPr>
        <w:t>El Gobierno del Estado de Michoacán no realiza ventas, como parte de su actividad principal.</w:t>
      </w:r>
    </w:p>
    <w:p w14:paraId="76D1BF76" w14:textId="77777777" w:rsidR="00C24CC7" w:rsidRPr="004F06F2" w:rsidRDefault="00C24CC7" w:rsidP="00CD477C">
      <w:pPr>
        <w:spacing w:before="0" w:after="0"/>
        <w:ind w:left="720"/>
        <w:rPr>
          <w:rFonts w:eastAsia="Calibri" w:cs="Times New Roman"/>
          <w:b/>
          <w:sz w:val="22"/>
          <w:szCs w:val="22"/>
        </w:rPr>
      </w:pPr>
    </w:p>
    <w:p w14:paraId="38FEBD3A" w14:textId="41772EC6" w:rsidR="00BD4F6A" w:rsidRPr="004F06F2" w:rsidRDefault="00BD4F6A" w:rsidP="00CD477C">
      <w:pPr>
        <w:spacing w:before="0" w:after="0"/>
        <w:ind w:left="720"/>
        <w:rPr>
          <w:rFonts w:eastAsia="Calibri" w:cs="Times New Roman"/>
          <w:b/>
          <w:sz w:val="22"/>
          <w:szCs w:val="22"/>
        </w:rPr>
      </w:pPr>
      <w:r w:rsidRPr="004F06F2">
        <w:rPr>
          <w:rFonts w:eastAsia="Calibri" w:cs="Times New Roman"/>
          <w:b/>
          <w:sz w:val="22"/>
          <w:szCs w:val="22"/>
        </w:rPr>
        <w:t>e) Depuración y cancelación de saldos.</w:t>
      </w:r>
    </w:p>
    <w:p w14:paraId="415BEEFB" w14:textId="77777777" w:rsidR="003E2C2C" w:rsidRPr="004F06F2" w:rsidRDefault="003E2C2C" w:rsidP="00CD477C">
      <w:pPr>
        <w:spacing w:before="0" w:after="0"/>
        <w:ind w:left="720"/>
        <w:rPr>
          <w:rFonts w:eastAsia="Calibri" w:cs="Times New Roman"/>
          <w:b/>
          <w:sz w:val="22"/>
          <w:szCs w:val="22"/>
        </w:rPr>
      </w:pPr>
    </w:p>
    <w:p w14:paraId="1F6245FF" w14:textId="6D314A7A" w:rsidR="008F2D6B" w:rsidRPr="004F06F2" w:rsidRDefault="00BD4F6A" w:rsidP="00CD477C">
      <w:pPr>
        <w:spacing w:before="0" w:after="0"/>
        <w:rPr>
          <w:rFonts w:eastAsia="Calibri" w:cs="Times New Roman"/>
          <w:bCs/>
          <w:sz w:val="22"/>
          <w:szCs w:val="22"/>
        </w:rPr>
      </w:pPr>
      <w:r w:rsidRPr="004F06F2">
        <w:rPr>
          <w:rFonts w:eastAsia="Calibri" w:cs="Times New Roman"/>
          <w:bCs/>
          <w:sz w:val="22"/>
          <w:szCs w:val="22"/>
        </w:rPr>
        <w:t>El Gobierno del Estado de Michoacán, como parte de sus prioridades de mantener finanzas sanas y una rendición de cuentas que permitan a la ciudadanía conocer el estado de la situación financiera del Estado de Michoacán, se ha dado a la tarea de realizar una depuración de saldos que son derivados de ejercicios anteriores, por omisiones o errores contables</w:t>
      </w:r>
      <w:r w:rsidR="00BF6734" w:rsidRPr="004F06F2">
        <w:rPr>
          <w:rFonts w:eastAsia="Calibri" w:cs="Times New Roman"/>
          <w:bCs/>
          <w:sz w:val="22"/>
          <w:szCs w:val="22"/>
        </w:rPr>
        <w:t>, destacando la depuración de cuentas bancarias inexistentes, deudores y acreedores cuyos pagos no fueron registrados en su momento conforme a la normativa aplicable</w:t>
      </w:r>
      <w:r w:rsidRPr="004F06F2">
        <w:rPr>
          <w:rFonts w:eastAsia="Calibri" w:cs="Times New Roman"/>
          <w:bCs/>
          <w:sz w:val="22"/>
          <w:szCs w:val="22"/>
        </w:rPr>
        <w:t>.</w:t>
      </w:r>
    </w:p>
    <w:p w14:paraId="6EE22FAB" w14:textId="77777777" w:rsidR="00BF6734" w:rsidRPr="004F06F2" w:rsidRDefault="00BF6734" w:rsidP="00CD477C">
      <w:pPr>
        <w:spacing w:before="0" w:after="0"/>
        <w:rPr>
          <w:rFonts w:eastAsia="Calibri" w:cs="Times New Roman"/>
          <w:bCs/>
          <w:sz w:val="22"/>
          <w:szCs w:val="22"/>
        </w:rPr>
      </w:pPr>
    </w:p>
    <w:p w14:paraId="623256C4" w14:textId="26125722" w:rsidR="00BD4F6A" w:rsidRPr="004F06F2" w:rsidRDefault="00860C1E" w:rsidP="00CD477C">
      <w:pPr>
        <w:spacing w:before="0" w:after="0"/>
        <w:rPr>
          <w:rFonts w:eastAsia="Calibri" w:cs="Times New Roman"/>
          <w:b/>
          <w:sz w:val="22"/>
          <w:szCs w:val="22"/>
        </w:rPr>
      </w:pPr>
      <w:r w:rsidRPr="004F06F2">
        <w:rPr>
          <w:rFonts w:eastAsia="Calibri" w:cs="Times New Roman"/>
          <w:b/>
          <w:sz w:val="22"/>
          <w:szCs w:val="22"/>
        </w:rPr>
        <w:t>6</w:t>
      </w:r>
      <w:r w:rsidR="00BD4F6A" w:rsidRPr="004F06F2">
        <w:rPr>
          <w:rFonts w:eastAsia="Calibri" w:cs="Times New Roman"/>
          <w:b/>
          <w:sz w:val="22"/>
          <w:szCs w:val="22"/>
        </w:rPr>
        <w:t>. Posición en moneda extranjera y protección por riesgo cambiario.</w:t>
      </w:r>
    </w:p>
    <w:p w14:paraId="7EEBE740" w14:textId="77777777" w:rsidR="003E2C2C" w:rsidRPr="004F06F2" w:rsidRDefault="003E2C2C" w:rsidP="00CD477C">
      <w:pPr>
        <w:spacing w:before="0" w:after="0"/>
        <w:rPr>
          <w:rFonts w:eastAsia="Calibri" w:cs="Times New Roman"/>
          <w:b/>
          <w:sz w:val="22"/>
          <w:szCs w:val="22"/>
        </w:rPr>
      </w:pPr>
    </w:p>
    <w:p w14:paraId="30483456" w14:textId="4316B964" w:rsidR="00BD4F6A" w:rsidRPr="004F06F2" w:rsidRDefault="00BD4F6A" w:rsidP="00CD477C">
      <w:pPr>
        <w:spacing w:before="0" w:after="0"/>
        <w:rPr>
          <w:rFonts w:eastAsia="Calibri" w:cs="Times New Roman"/>
          <w:bCs/>
          <w:sz w:val="22"/>
          <w:szCs w:val="22"/>
        </w:rPr>
      </w:pPr>
      <w:r w:rsidRPr="004F06F2">
        <w:rPr>
          <w:rFonts w:eastAsia="Calibri" w:cs="Times New Roman"/>
          <w:bCs/>
          <w:sz w:val="22"/>
          <w:szCs w:val="22"/>
        </w:rPr>
        <w:t>El Gobierno del Estado de Michoacán no cuenta con activos o pasivos en moneda extranjera, por lo que no es necesario ningún método de protección de riesgo por variaciones en el tipo de cambio.</w:t>
      </w:r>
    </w:p>
    <w:p w14:paraId="5D0C82CF" w14:textId="77777777" w:rsidR="00BD4F6A" w:rsidRPr="004F06F2" w:rsidRDefault="00BD4F6A" w:rsidP="00CD477C">
      <w:pPr>
        <w:spacing w:before="0" w:after="0"/>
        <w:rPr>
          <w:rFonts w:eastAsia="Calibri" w:cs="Times New Roman"/>
          <w:b/>
          <w:sz w:val="22"/>
          <w:szCs w:val="22"/>
        </w:rPr>
      </w:pPr>
    </w:p>
    <w:p w14:paraId="730FA0F2" w14:textId="77777777" w:rsidR="00214D48" w:rsidRDefault="00214D48" w:rsidP="00CD477C">
      <w:pPr>
        <w:spacing w:before="0" w:after="0"/>
        <w:rPr>
          <w:rFonts w:eastAsia="Calibri" w:cs="Times New Roman"/>
          <w:b/>
          <w:sz w:val="22"/>
          <w:szCs w:val="22"/>
        </w:rPr>
      </w:pPr>
    </w:p>
    <w:p w14:paraId="399E5C2D" w14:textId="77777777" w:rsidR="00214D48" w:rsidRDefault="00214D48" w:rsidP="00CD477C">
      <w:pPr>
        <w:spacing w:before="0" w:after="0"/>
        <w:rPr>
          <w:rFonts w:eastAsia="Calibri" w:cs="Times New Roman"/>
          <w:b/>
          <w:sz w:val="22"/>
          <w:szCs w:val="22"/>
        </w:rPr>
      </w:pPr>
    </w:p>
    <w:p w14:paraId="0B42F25B" w14:textId="77777777" w:rsidR="00214D48" w:rsidRDefault="00214D48" w:rsidP="00CD477C">
      <w:pPr>
        <w:spacing w:before="0" w:after="0"/>
        <w:rPr>
          <w:rFonts w:eastAsia="Calibri" w:cs="Times New Roman"/>
          <w:b/>
          <w:sz w:val="22"/>
          <w:szCs w:val="22"/>
        </w:rPr>
      </w:pPr>
    </w:p>
    <w:p w14:paraId="225855E4" w14:textId="77777777" w:rsidR="00214D48" w:rsidRDefault="00214D48" w:rsidP="00CD477C">
      <w:pPr>
        <w:spacing w:before="0" w:after="0"/>
        <w:rPr>
          <w:rFonts w:eastAsia="Calibri" w:cs="Times New Roman"/>
          <w:b/>
          <w:sz w:val="22"/>
          <w:szCs w:val="22"/>
        </w:rPr>
      </w:pPr>
    </w:p>
    <w:p w14:paraId="4403288C" w14:textId="7093F493" w:rsidR="00BD4F6A" w:rsidRPr="004F06F2" w:rsidRDefault="00860C1E" w:rsidP="00CD477C">
      <w:pPr>
        <w:spacing w:before="0" w:after="0"/>
        <w:rPr>
          <w:rFonts w:eastAsia="Calibri" w:cs="Times New Roman"/>
          <w:b/>
          <w:sz w:val="22"/>
          <w:szCs w:val="22"/>
        </w:rPr>
      </w:pPr>
      <w:r w:rsidRPr="004F06F2">
        <w:rPr>
          <w:rFonts w:eastAsia="Calibri" w:cs="Times New Roman"/>
          <w:b/>
          <w:sz w:val="22"/>
          <w:szCs w:val="22"/>
        </w:rPr>
        <w:lastRenderedPageBreak/>
        <w:t>7</w:t>
      </w:r>
      <w:r w:rsidR="00BD4F6A" w:rsidRPr="004F06F2">
        <w:rPr>
          <w:rFonts w:eastAsia="Calibri" w:cs="Times New Roman"/>
          <w:b/>
          <w:sz w:val="22"/>
          <w:szCs w:val="22"/>
        </w:rPr>
        <w:t>. Reporte Analítico del Activo.</w:t>
      </w:r>
    </w:p>
    <w:p w14:paraId="3B137ACF" w14:textId="77777777" w:rsidR="003E2C2C" w:rsidRPr="004F06F2" w:rsidRDefault="003E2C2C" w:rsidP="00CD477C">
      <w:pPr>
        <w:spacing w:before="0" w:after="0"/>
        <w:rPr>
          <w:rFonts w:eastAsia="Calibri" w:cs="Times New Roman"/>
          <w:b/>
          <w:sz w:val="22"/>
          <w:szCs w:val="22"/>
        </w:rPr>
      </w:pPr>
    </w:p>
    <w:p w14:paraId="583CEB3E" w14:textId="340BBAF9" w:rsidR="00BD4F6A" w:rsidRPr="004F06F2" w:rsidRDefault="00BD4F6A" w:rsidP="00CD477C">
      <w:pPr>
        <w:spacing w:before="0" w:after="0"/>
        <w:rPr>
          <w:rFonts w:eastAsia="Calibri" w:cs="Times New Roman"/>
          <w:bCs/>
          <w:sz w:val="22"/>
          <w:szCs w:val="22"/>
        </w:rPr>
      </w:pPr>
      <w:r w:rsidRPr="004F06F2">
        <w:rPr>
          <w:rFonts w:eastAsia="Calibri" w:cs="Times New Roman"/>
          <w:b/>
          <w:sz w:val="22"/>
          <w:szCs w:val="22"/>
        </w:rPr>
        <w:t>a). Vida útil, porcentajes de depreciación, deterioro o amortización utilizados en los diferentes tipos de activos.</w:t>
      </w:r>
    </w:p>
    <w:p w14:paraId="3B07E1B6" w14:textId="77777777" w:rsidR="00214D48" w:rsidRDefault="00214D48" w:rsidP="000D73E8"/>
    <w:p w14:paraId="250D07F5" w14:textId="4FDF81B5" w:rsidR="000D73E8" w:rsidRPr="004F06F2" w:rsidRDefault="000D73E8" w:rsidP="000D73E8">
      <w:r w:rsidRPr="004F06F2">
        <w:t>Bajo este marco se informa</w:t>
      </w:r>
      <w:r w:rsidR="00FD5D92" w:rsidRPr="004F06F2">
        <w:t xml:space="preserve"> que</w:t>
      </w:r>
      <w:r w:rsidRPr="004F06F2">
        <w:t xml:space="preserve"> durante el periodo del 1° de en</w:t>
      </w:r>
      <w:r w:rsidR="00FD5D92" w:rsidRPr="004F06F2">
        <w:t>ero al 31 de marzo del año 2024 s</w:t>
      </w:r>
      <w:r w:rsidRPr="004F06F2">
        <w:t xml:space="preserve">e regulariza la cuenta contable (1.2.6.3. Depreciación Acumulada de Bienes Muebles), donde la depreciación y amortización, es la distribución sistemática del costo de adquisición de un activo a lo largo de su vida útil, el monto de la depreciación como la amortización se calcula considerando el costo de adquisición del activo depreciable o amortizable, menos su valor de desecho, entre los años correspondientes a su vida útil o su vida económica; obteniendo un importe de </w:t>
      </w:r>
      <w:r w:rsidRPr="004F06F2">
        <w:rPr>
          <w:b/>
        </w:rPr>
        <w:t>6</w:t>
      </w:r>
      <w:r w:rsidR="00FD5D92" w:rsidRPr="004F06F2">
        <w:rPr>
          <w:b/>
        </w:rPr>
        <w:t xml:space="preserve"> millones </w:t>
      </w:r>
      <w:r w:rsidRPr="004F06F2">
        <w:rPr>
          <w:b/>
        </w:rPr>
        <w:t>363</w:t>
      </w:r>
      <w:r w:rsidR="00FD5D92" w:rsidRPr="004F06F2">
        <w:rPr>
          <w:b/>
        </w:rPr>
        <w:t xml:space="preserve"> mil 298 pesos, </w:t>
      </w:r>
      <w:r w:rsidRPr="004F06F2">
        <w:t>del periodo del primer trimest</w:t>
      </w:r>
      <w:r w:rsidR="00FD5D92" w:rsidRPr="004F06F2">
        <w:t>re 2024</w:t>
      </w:r>
      <w:r w:rsidRPr="004F06F2">
        <w:t>, registrándose en los gastos del periodo, con el objeto de conocer el gasto patrimonial por el servicio que esté dando el activo, lo cual redundará en una estimación adecuada de la utilidad del Gobierno del Estado de Michoacán sector central de poder ejecutivo como se refiere el documento normativo denominado Parámetros de Estimación de Vida Útil.</w:t>
      </w:r>
    </w:p>
    <w:p w14:paraId="3D31D011" w14:textId="77777777" w:rsidR="00214D48" w:rsidRDefault="00214D48" w:rsidP="000D73E8"/>
    <w:p w14:paraId="7FF6FACC" w14:textId="02DA7666" w:rsidR="000D73E8" w:rsidRPr="004F06F2" w:rsidRDefault="000D73E8" w:rsidP="000D73E8">
      <w:r w:rsidRPr="004F06F2">
        <w:t>El proceso de administración del alta de un inmuebles, puede ser: por adquisición, expropiación</w:t>
      </w:r>
      <w:r w:rsidR="00CA6759">
        <w:t>,</w:t>
      </w:r>
      <w:r w:rsidRPr="004F06F2">
        <w:t xml:space="preserve"> </w:t>
      </w:r>
      <w:r w:rsidRPr="004F06F2">
        <w:rPr>
          <w:b/>
        </w:rPr>
        <w:t>donación,</w:t>
      </w:r>
      <w:r w:rsidRPr="004F06F2">
        <w:t xml:space="preserve"> regularización y disposición entre otros, en el caso de las áreas de donación en favor del Gobierno del Estado, de un fraccionamiento habitacional para el ejercicio 2024, se entrega el 3% del área total del mismo predio, a favor de Gobierno del Estado de Michoacán, esta superficie, se regulariza a través de las Donaciones, de cualquiera de los tipos que se señalan </w:t>
      </w:r>
      <w:r w:rsidR="00765762" w:rsidRPr="004F06F2">
        <w:t xml:space="preserve">en el código </w:t>
      </w:r>
      <w:r w:rsidRPr="004F06F2">
        <w:t xml:space="preserve">de Desarrollo Urbano del Estado de Michoacán de Ocampo, en su artículo </w:t>
      </w:r>
      <w:r w:rsidR="0060455D" w:rsidRPr="004F06F2">
        <w:t>329 fracción I</w:t>
      </w:r>
      <w:r w:rsidRPr="004F06F2">
        <w:t xml:space="preserve">, para el ejercicio 2024, se lleva un trámite de inscripción en el Registro Público de la Propiedad, mediante escritura que costeará el fraccionador, una vez registrado y escriturado, se </w:t>
      </w:r>
      <w:r w:rsidRPr="004F06F2">
        <w:lastRenderedPageBreak/>
        <w:t xml:space="preserve">entera a la Dirección de Patrimonio Estatal de la Secretaria de Finanzas y Administración, para </w:t>
      </w:r>
      <w:r w:rsidR="007E481B">
        <w:t>e</w:t>
      </w:r>
      <w:r w:rsidRPr="004F06F2">
        <w:t xml:space="preserve">stablecer la política general de la  </w:t>
      </w:r>
      <w:r w:rsidR="007E481B">
        <w:t>i</w:t>
      </w:r>
      <w:r w:rsidRPr="004F06F2">
        <w:t>ntegración y custodia de los expedientes de incorporación al patrimonio del Gobierno del Estado de Michoacán, asimismo el registro en el sistema de control patrimonial, del mismo modo realizar el procedimiento de su registro contable en Sistema de Contabilidad Gubernamental del sector central, como lo establece la LGCG y el Manual de Procedimientos de la Secretaria de Finanzas y Administración.</w:t>
      </w:r>
    </w:p>
    <w:p w14:paraId="3398244F" w14:textId="77777777" w:rsidR="00BD4F6A" w:rsidRPr="004F06F2" w:rsidRDefault="00BD4F6A" w:rsidP="00CD477C">
      <w:pPr>
        <w:spacing w:before="0" w:after="0"/>
        <w:rPr>
          <w:rFonts w:eastAsia="Calibri" w:cs="Times New Roman"/>
          <w:b/>
          <w:sz w:val="22"/>
          <w:szCs w:val="22"/>
        </w:rPr>
      </w:pPr>
    </w:p>
    <w:p w14:paraId="6EB5C3DD" w14:textId="77777777" w:rsidR="00BD4F6A" w:rsidRPr="004F06F2" w:rsidRDefault="00BD4F6A" w:rsidP="00CD477C">
      <w:pPr>
        <w:spacing w:before="0" w:after="0"/>
        <w:rPr>
          <w:rFonts w:eastAsia="Calibri" w:cs="Times New Roman"/>
          <w:b/>
          <w:sz w:val="22"/>
          <w:szCs w:val="22"/>
        </w:rPr>
      </w:pPr>
      <w:r w:rsidRPr="004F06F2">
        <w:rPr>
          <w:rFonts w:eastAsia="Calibri" w:cs="Times New Roman"/>
          <w:b/>
          <w:sz w:val="22"/>
          <w:szCs w:val="22"/>
        </w:rPr>
        <w:t>b) Cambios en el porcentaje de depreciación o valor residual de los activos.</w:t>
      </w:r>
    </w:p>
    <w:p w14:paraId="69220648" w14:textId="77777777" w:rsidR="00BD4F6A" w:rsidRPr="004F06F2" w:rsidRDefault="00BD4F6A" w:rsidP="00CD477C">
      <w:pPr>
        <w:spacing w:before="0" w:after="0"/>
        <w:rPr>
          <w:rFonts w:eastAsia="Calibri" w:cs="Times New Roman"/>
          <w:bCs/>
          <w:sz w:val="22"/>
          <w:szCs w:val="22"/>
        </w:rPr>
      </w:pPr>
      <w:r w:rsidRPr="004F06F2">
        <w:rPr>
          <w:rFonts w:eastAsia="Calibri" w:cs="Times New Roman"/>
          <w:bCs/>
          <w:sz w:val="22"/>
          <w:szCs w:val="22"/>
        </w:rPr>
        <w:t>La valuación de los activos, así como su vida útil y su valor residual, se realiza conforme a lo establecido en las normas emitidas y publicadas por el Consejo Nacional de Armonización Contable.</w:t>
      </w:r>
    </w:p>
    <w:p w14:paraId="5957F057" w14:textId="77777777" w:rsidR="00BD4F6A" w:rsidRPr="004F06F2" w:rsidRDefault="00BD4F6A" w:rsidP="00CD477C">
      <w:pPr>
        <w:spacing w:before="0" w:after="0"/>
        <w:rPr>
          <w:rFonts w:eastAsia="Calibri" w:cs="Times New Roman"/>
          <w:bCs/>
          <w:sz w:val="22"/>
          <w:szCs w:val="22"/>
        </w:rPr>
      </w:pPr>
    </w:p>
    <w:p w14:paraId="1DAC20EF" w14:textId="77777777" w:rsidR="00BD4F6A" w:rsidRPr="004F06F2" w:rsidRDefault="00BD4F6A" w:rsidP="00CD477C">
      <w:pPr>
        <w:spacing w:before="0" w:after="0"/>
        <w:rPr>
          <w:rFonts w:eastAsia="Calibri" w:cs="Times New Roman"/>
          <w:b/>
          <w:sz w:val="22"/>
          <w:szCs w:val="22"/>
        </w:rPr>
      </w:pPr>
      <w:r w:rsidRPr="004F06F2">
        <w:rPr>
          <w:rFonts w:eastAsia="Calibri" w:cs="Times New Roman"/>
          <w:b/>
          <w:sz w:val="22"/>
          <w:szCs w:val="22"/>
        </w:rPr>
        <w:t>c) Importe de los gastos capitalizados en el ejercicio, tanto financieros con de investigación y desarrollo.</w:t>
      </w:r>
    </w:p>
    <w:p w14:paraId="6F7836CE" w14:textId="3654D66E" w:rsidR="00BD4F6A" w:rsidRPr="004F06F2" w:rsidRDefault="00BD4F6A" w:rsidP="00CD477C">
      <w:pPr>
        <w:spacing w:before="0" w:after="0"/>
        <w:rPr>
          <w:rFonts w:eastAsia="Calibri" w:cs="Times New Roman"/>
          <w:bCs/>
          <w:sz w:val="22"/>
          <w:szCs w:val="22"/>
        </w:rPr>
      </w:pPr>
      <w:r w:rsidRPr="004F06F2">
        <w:rPr>
          <w:rFonts w:eastAsia="Calibri" w:cs="Times New Roman"/>
          <w:bCs/>
          <w:sz w:val="22"/>
          <w:szCs w:val="22"/>
        </w:rPr>
        <w:t xml:space="preserve">Durante </w:t>
      </w:r>
      <w:r w:rsidR="00BF6734" w:rsidRPr="004F06F2">
        <w:rPr>
          <w:rFonts w:eastAsia="Calibri" w:cs="Times New Roman"/>
          <w:bCs/>
          <w:sz w:val="22"/>
          <w:szCs w:val="22"/>
        </w:rPr>
        <w:t xml:space="preserve">el </w:t>
      </w:r>
      <w:r w:rsidR="000D73E8" w:rsidRPr="004F06F2">
        <w:rPr>
          <w:rFonts w:eastAsia="Calibri" w:cs="Times New Roman"/>
          <w:bCs/>
          <w:color w:val="000000"/>
          <w:sz w:val="22"/>
          <w:szCs w:val="22"/>
        </w:rPr>
        <w:t>primer</w:t>
      </w:r>
      <w:r w:rsidR="00BF6734" w:rsidRPr="004F06F2">
        <w:rPr>
          <w:rFonts w:eastAsia="Calibri" w:cs="Times New Roman"/>
          <w:bCs/>
          <w:sz w:val="22"/>
          <w:szCs w:val="22"/>
        </w:rPr>
        <w:t xml:space="preserve"> trimestre de 202</w:t>
      </w:r>
      <w:r w:rsidR="000D73E8" w:rsidRPr="004F06F2">
        <w:rPr>
          <w:rFonts w:eastAsia="Calibri" w:cs="Times New Roman"/>
          <w:bCs/>
          <w:sz w:val="22"/>
          <w:szCs w:val="22"/>
        </w:rPr>
        <w:t>4</w:t>
      </w:r>
      <w:r w:rsidRPr="004F06F2">
        <w:rPr>
          <w:rFonts w:eastAsia="Calibri" w:cs="Times New Roman"/>
          <w:bCs/>
          <w:sz w:val="22"/>
          <w:szCs w:val="22"/>
        </w:rPr>
        <w:t xml:space="preserve"> no se ha realizado capitalización de gastos.</w:t>
      </w:r>
    </w:p>
    <w:p w14:paraId="46F17CE5" w14:textId="77777777" w:rsidR="00BF6734" w:rsidRPr="004F06F2" w:rsidRDefault="00BF6734" w:rsidP="00CD477C">
      <w:pPr>
        <w:spacing w:before="0" w:after="0"/>
        <w:rPr>
          <w:rFonts w:eastAsia="Calibri" w:cs="Times New Roman"/>
          <w:b/>
          <w:sz w:val="22"/>
          <w:szCs w:val="22"/>
        </w:rPr>
      </w:pPr>
    </w:p>
    <w:p w14:paraId="0A591167" w14:textId="7C3CE386" w:rsidR="00BD4F6A" w:rsidRPr="004F06F2" w:rsidRDefault="00BD4F6A" w:rsidP="00CD477C">
      <w:pPr>
        <w:spacing w:before="0" w:after="0"/>
        <w:rPr>
          <w:rFonts w:eastAsia="Calibri" w:cs="Times New Roman"/>
          <w:b/>
          <w:sz w:val="22"/>
          <w:szCs w:val="22"/>
        </w:rPr>
      </w:pPr>
      <w:r w:rsidRPr="004F06F2">
        <w:rPr>
          <w:rFonts w:eastAsia="Calibri" w:cs="Times New Roman"/>
          <w:b/>
          <w:sz w:val="22"/>
          <w:szCs w:val="22"/>
        </w:rPr>
        <w:t>d) Riesgos por tipo de cambio o tipo de interés de las inversiones financieras.</w:t>
      </w:r>
    </w:p>
    <w:p w14:paraId="15FD5B23" w14:textId="77777777" w:rsidR="00BD4F6A" w:rsidRPr="004F06F2" w:rsidRDefault="00BD4F6A" w:rsidP="00CD477C">
      <w:pPr>
        <w:spacing w:before="0" w:after="0"/>
        <w:rPr>
          <w:rFonts w:eastAsia="Calibri" w:cs="Times New Roman"/>
          <w:bCs/>
          <w:sz w:val="22"/>
          <w:szCs w:val="22"/>
        </w:rPr>
      </w:pPr>
      <w:r w:rsidRPr="004F06F2">
        <w:rPr>
          <w:rFonts w:eastAsia="Calibri" w:cs="Times New Roman"/>
          <w:bCs/>
          <w:sz w:val="22"/>
          <w:szCs w:val="22"/>
        </w:rPr>
        <w:t>El Gobierno del Estado de Michoacán no realiza inversiones en moneda extranjera ni consideradas de riesgo.</w:t>
      </w:r>
    </w:p>
    <w:p w14:paraId="339E0277" w14:textId="77777777" w:rsidR="00BD4F6A" w:rsidRPr="004F06F2" w:rsidRDefault="00BD4F6A" w:rsidP="00CD477C">
      <w:pPr>
        <w:spacing w:before="0" w:after="0"/>
        <w:rPr>
          <w:rFonts w:eastAsia="Calibri" w:cs="Times New Roman"/>
          <w:bCs/>
          <w:sz w:val="22"/>
          <w:szCs w:val="22"/>
        </w:rPr>
      </w:pPr>
    </w:p>
    <w:p w14:paraId="4FD16446" w14:textId="77777777" w:rsidR="00BD4F6A" w:rsidRPr="004F06F2" w:rsidRDefault="00BD4F6A" w:rsidP="00CD477C">
      <w:pPr>
        <w:spacing w:before="0" w:after="0"/>
        <w:rPr>
          <w:rFonts w:eastAsia="Calibri" w:cs="Times New Roman"/>
          <w:b/>
          <w:sz w:val="22"/>
          <w:szCs w:val="22"/>
        </w:rPr>
      </w:pPr>
      <w:r w:rsidRPr="004F06F2">
        <w:rPr>
          <w:rFonts w:eastAsia="Calibri" w:cs="Times New Roman"/>
          <w:b/>
          <w:sz w:val="22"/>
          <w:szCs w:val="22"/>
        </w:rPr>
        <w:t>e) Valor activado en el ejercicio de los bienes construidos por la entidad.</w:t>
      </w:r>
    </w:p>
    <w:p w14:paraId="2F00B17D" w14:textId="77777777" w:rsidR="00BD4F6A" w:rsidRPr="004F06F2" w:rsidRDefault="00BD4F6A" w:rsidP="00CD477C">
      <w:pPr>
        <w:spacing w:before="0" w:after="0"/>
        <w:rPr>
          <w:rFonts w:eastAsia="Calibri" w:cs="Times New Roman"/>
          <w:bCs/>
          <w:sz w:val="22"/>
          <w:szCs w:val="22"/>
        </w:rPr>
      </w:pPr>
      <w:r w:rsidRPr="004F06F2">
        <w:rPr>
          <w:rFonts w:eastAsia="Calibri" w:cs="Times New Roman"/>
          <w:bCs/>
          <w:sz w:val="22"/>
          <w:szCs w:val="22"/>
        </w:rPr>
        <w:t>No existen datos que informar en este rubro, en el periodo que se informa.</w:t>
      </w:r>
    </w:p>
    <w:p w14:paraId="48A5DD01" w14:textId="33B144C0" w:rsidR="00BD4F6A" w:rsidRPr="004F06F2" w:rsidRDefault="00BD4F6A" w:rsidP="00CD477C">
      <w:pPr>
        <w:spacing w:before="0" w:after="0"/>
        <w:rPr>
          <w:rFonts w:eastAsia="Calibri" w:cs="Times New Roman"/>
          <w:bCs/>
          <w:sz w:val="22"/>
          <w:szCs w:val="22"/>
        </w:rPr>
      </w:pPr>
    </w:p>
    <w:p w14:paraId="1E1C4BFA" w14:textId="1105E40A" w:rsidR="00BD4F6A" w:rsidRPr="004F06F2" w:rsidRDefault="00BD4F6A" w:rsidP="00CD477C">
      <w:pPr>
        <w:spacing w:before="0" w:after="0"/>
        <w:rPr>
          <w:rFonts w:eastAsia="Calibri" w:cs="Times New Roman"/>
          <w:b/>
          <w:sz w:val="22"/>
          <w:szCs w:val="22"/>
        </w:rPr>
      </w:pPr>
      <w:r w:rsidRPr="004F06F2">
        <w:rPr>
          <w:rFonts w:eastAsia="Calibri" w:cs="Times New Roman"/>
          <w:b/>
          <w:sz w:val="22"/>
          <w:szCs w:val="22"/>
        </w:rPr>
        <w:t>f) Otras circunstancias de carácter significativo que afecten el activo.</w:t>
      </w:r>
    </w:p>
    <w:p w14:paraId="3E9B7CC7" w14:textId="77777777" w:rsidR="00BD4F6A" w:rsidRPr="004F06F2" w:rsidRDefault="00BD4F6A" w:rsidP="00CD477C">
      <w:pPr>
        <w:spacing w:before="0" w:after="0"/>
        <w:rPr>
          <w:rFonts w:eastAsia="Calibri" w:cs="Times New Roman"/>
          <w:bCs/>
          <w:sz w:val="22"/>
          <w:szCs w:val="22"/>
        </w:rPr>
      </w:pPr>
      <w:r w:rsidRPr="004F06F2">
        <w:rPr>
          <w:rFonts w:eastAsia="Calibri" w:cs="Times New Roman"/>
          <w:bCs/>
          <w:sz w:val="22"/>
          <w:szCs w:val="22"/>
        </w:rPr>
        <w:t>No existen datos que informar en este rubro, en el periodo que se informa.</w:t>
      </w:r>
    </w:p>
    <w:p w14:paraId="6E0EB8A7" w14:textId="77777777" w:rsidR="00BD4F6A" w:rsidRPr="004F06F2" w:rsidRDefault="00BD4F6A" w:rsidP="00CD477C">
      <w:pPr>
        <w:spacing w:before="0" w:after="0"/>
        <w:rPr>
          <w:rFonts w:eastAsia="Calibri" w:cs="Times New Roman"/>
          <w:b/>
          <w:sz w:val="22"/>
          <w:szCs w:val="22"/>
        </w:rPr>
      </w:pPr>
    </w:p>
    <w:p w14:paraId="45CEE11E" w14:textId="77777777" w:rsidR="00BD4F6A" w:rsidRPr="004F06F2" w:rsidRDefault="00BD4F6A" w:rsidP="00CD477C">
      <w:pPr>
        <w:spacing w:before="0" w:after="0"/>
        <w:rPr>
          <w:rFonts w:eastAsia="Calibri" w:cs="Times New Roman"/>
          <w:b/>
          <w:sz w:val="22"/>
          <w:szCs w:val="22"/>
        </w:rPr>
      </w:pPr>
      <w:r w:rsidRPr="004F06F2">
        <w:rPr>
          <w:rFonts w:eastAsia="Calibri" w:cs="Times New Roman"/>
          <w:b/>
          <w:sz w:val="22"/>
          <w:szCs w:val="22"/>
        </w:rPr>
        <w:t xml:space="preserve">g) Desmantelamiento de Activos. </w:t>
      </w:r>
    </w:p>
    <w:p w14:paraId="2C9F1EE1" w14:textId="77777777" w:rsidR="00BD4F6A" w:rsidRPr="004F06F2" w:rsidRDefault="00BD4F6A" w:rsidP="00CD477C">
      <w:pPr>
        <w:spacing w:before="0" w:after="0"/>
        <w:rPr>
          <w:rFonts w:eastAsia="Calibri" w:cs="Times New Roman"/>
          <w:bCs/>
          <w:sz w:val="22"/>
          <w:szCs w:val="22"/>
        </w:rPr>
      </w:pPr>
      <w:r w:rsidRPr="004F06F2">
        <w:rPr>
          <w:rFonts w:eastAsia="Calibri" w:cs="Times New Roman"/>
          <w:bCs/>
          <w:sz w:val="22"/>
          <w:szCs w:val="22"/>
        </w:rPr>
        <w:t>No existen datos que informar en este rubro, en el periodo que se informa.</w:t>
      </w:r>
    </w:p>
    <w:p w14:paraId="6F70758D" w14:textId="77777777" w:rsidR="00BD4F6A" w:rsidRPr="004F06F2" w:rsidRDefault="00BD4F6A" w:rsidP="00CD477C">
      <w:pPr>
        <w:spacing w:before="0" w:after="0"/>
        <w:rPr>
          <w:rFonts w:eastAsia="Calibri" w:cs="Times New Roman"/>
          <w:b/>
          <w:sz w:val="22"/>
          <w:szCs w:val="22"/>
        </w:rPr>
      </w:pPr>
    </w:p>
    <w:p w14:paraId="485A9DEE" w14:textId="77777777" w:rsidR="00BD4F6A" w:rsidRPr="004F06F2" w:rsidRDefault="00BD4F6A" w:rsidP="00CD477C">
      <w:pPr>
        <w:spacing w:before="0" w:after="0"/>
        <w:rPr>
          <w:rFonts w:eastAsia="Calibri" w:cs="Times New Roman"/>
          <w:b/>
          <w:sz w:val="22"/>
          <w:szCs w:val="22"/>
        </w:rPr>
      </w:pPr>
      <w:r w:rsidRPr="004F06F2">
        <w:rPr>
          <w:rFonts w:eastAsia="Calibri" w:cs="Times New Roman"/>
          <w:b/>
          <w:sz w:val="22"/>
          <w:szCs w:val="22"/>
        </w:rPr>
        <w:t>h) Planeación de activos.</w:t>
      </w:r>
    </w:p>
    <w:p w14:paraId="5769891A" w14:textId="77777777" w:rsidR="00BD4F6A" w:rsidRPr="004F06F2" w:rsidRDefault="00BD4F6A" w:rsidP="00CD477C">
      <w:pPr>
        <w:spacing w:before="0" w:after="0"/>
        <w:rPr>
          <w:rFonts w:eastAsia="Calibri" w:cs="Times New Roman"/>
          <w:bCs/>
          <w:sz w:val="22"/>
          <w:szCs w:val="22"/>
        </w:rPr>
      </w:pPr>
      <w:r w:rsidRPr="004F06F2">
        <w:rPr>
          <w:rFonts w:eastAsia="Calibri" w:cs="Times New Roman"/>
          <w:bCs/>
          <w:sz w:val="22"/>
          <w:szCs w:val="22"/>
        </w:rPr>
        <w:t>No existen datos que informar en este rubro, en el periodo que se informa.</w:t>
      </w:r>
    </w:p>
    <w:p w14:paraId="7E5F610E" w14:textId="77777777" w:rsidR="00BF6734" w:rsidRPr="004F06F2" w:rsidRDefault="00BF6734" w:rsidP="00CD477C">
      <w:pPr>
        <w:spacing w:before="0" w:after="0"/>
        <w:rPr>
          <w:rFonts w:eastAsia="Calibri" w:cs="Times New Roman"/>
          <w:b/>
          <w:sz w:val="22"/>
          <w:szCs w:val="22"/>
        </w:rPr>
      </w:pPr>
    </w:p>
    <w:p w14:paraId="06BD9BE4" w14:textId="395148B7" w:rsidR="00BD4F6A" w:rsidRPr="004F06F2" w:rsidRDefault="00860C1E" w:rsidP="00CD477C">
      <w:pPr>
        <w:spacing w:before="0" w:after="0"/>
        <w:rPr>
          <w:rFonts w:eastAsia="Calibri" w:cs="Times New Roman"/>
          <w:b/>
          <w:sz w:val="22"/>
          <w:szCs w:val="22"/>
        </w:rPr>
      </w:pPr>
      <w:r w:rsidRPr="004F06F2">
        <w:rPr>
          <w:rFonts w:eastAsia="Calibri" w:cs="Times New Roman"/>
          <w:b/>
          <w:sz w:val="22"/>
          <w:szCs w:val="22"/>
        </w:rPr>
        <w:t>8</w:t>
      </w:r>
      <w:r w:rsidR="00BD4F6A" w:rsidRPr="004F06F2">
        <w:rPr>
          <w:rFonts w:eastAsia="Calibri" w:cs="Times New Roman"/>
          <w:b/>
          <w:sz w:val="22"/>
          <w:szCs w:val="22"/>
        </w:rPr>
        <w:t>. Fideicomisos, Mandatos y Análogos.</w:t>
      </w:r>
    </w:p>
    <w:p w14:paraId="33122D74" w14:textId="77777777" w:rsidR="00BD4F6A" w:rsidRPr="004F06F2" w:rsidRDefault="00BD4F6A" w:rsidP="00CD477C">
      <w:pPr>
        <w:spacing w:before="0" w:after="0"/>
        <w:rPr>
          <w:rFonts w:eastAsia="Calibri" w:cs="Times New Roman"/>
          <w:bCs/>
          <w:sz w:val="22"/>
          <w:szCs w:val="22"/>
        </w:rPr>
      </w:pPr>
      <w:r w:rsidRPr="004F06F2">
        <w:rPr>
          <w:rFonts w:eastAsia="Calibri" w:cs="Times New Roman"/>
          <w:bCs/>
          <w:sz w:val="22"/>
          <w:szCs w:val="22"/>
        </w:rPr>
        <w:t>El gobierno del Estado de Michoacán cuenta con Fideicomisos sectorizados a sus diferentes Dependencias, los cuales se muestran a continuación:</w:t>
      </w:r>
    </w:p>
    <w:p w14:paraId="6FB31093" w14:textId="77777777" w:rsidR="000D73E8" w:rsidRPr="004F06F2" w:rsidRDefault="000D73E8" w:rsidP="00CD477C">
      <w:pPr>
        <w:spacing w:before="0" w:after="0"/>
        <w:rPr>
          <w:rFonts w:eastAsia="Calibri" w:cs="Times New Roman"/>
          <w:bCs/>
          <w:sz w:val="22"/>
          <w:szCs w:val="22"/>
        </w:rPr>
      </w:pPr>
    </w:p>
    <w:p w14:paraId="534A02C9" w14:textId="2A307DEA" w:rsidR="00F72AF6" w:rsidRPr="004F06F2" w:rsidRDefault="000F7AB0" w:rsidP="00CD477C">
      <w:pPr>
        <w:spacing w:before="0" w:after="0"/>
        <w:rPr>
          <w:rFonts w:eastAsia="Calibri" w:cs="Times New Roman"/>
          <w:b/>
          <w:bCs/>
          <w:sz w:val="22"/>
          <w:szCs w:val="22"/>
        </w:rPr>
      </w:pPr>
      <w:r w:rsidRPr="004F06F2">
        <w:rPr>
          <w:rFonts w:eastAsia="Calibri" w:cs="Times New Roman"/>
          <w:b/>
          <w:bCs/>
          <w:sz w:val="22"/>
          <w:szCs w:val="22"/>
        </w:rPr>
        <w:t>a) Por ramo administrativo que los reporta.</w:t>
      </w:r>
    </w:p>
    <w:p w14:paraId="4A4BD173" w14:textId="77777777" w:rsidR="00C24CC7" w:rsidRPr="004F06F2" w:rsidRDefault="00C24CC7" w:rsidP="00CD477C">
      <w:pPr>
        <w:spacing w:before="0" w:after="0"/>
        <w:rPr>
          <w:rFonts w:eastAsia="Calibri" w:cs="Times New Roman"/>
          <w:b/>
          <w:bCs/>
          <w:sz w:val="22"/>
          <w:szCs w:val="22"/>
        </w:rPr>
      </w:pPr>
    </w:p>
    <w:p w14:paraId="5F2040BE" w14:textId="77777777" w:rsidR="00C24CC7" w:rsidRPr="004F06F2" w:rsidRDefault="00C24CC7" w:rsidP="00CD477C">
      <w:pPr>
        <w:spacing w:before="0" w:after="0"/>
        <w:rPr>
          <w:rFonts w:eastAsia="Calibri" w:cs="Times New Roman"/>
          <w:b/>
          <w:bCs/>
          <w:sz w:val="22"/>
          <w:szCs w:val="22"/>
        </w:rPr>
      </w:pPr>
    </w:p>
    <w:p w14:paraId="18EF0C23" w14:textId="7C717360" w:rsidR="00C24CC7" w:rsidRPr="004F06F2" w:rsidRDefault="002E34EB" w:rsidP="002E34EB">
      <w:pPr>
        <w:spacing w:before="0" w:after="0"/>
        <w:jc w:val="center"/>
        <w:rPr>
          <w:rFonts w:eastAsia="Calibri" w:cs="Times New Roman"/>
          <w:b/>
          <w:bCs/>
          <w:sz w:val="22"/>
          <w:szCs w:val="22"/>
        </w:rPr>
      </w:pPr>
      <w:r w:rsidRPr="004F06F2">
        <w:rPr>
          <w:noProof/>
          <w:lang w:val="es-MX" w:eastAsia="es-MX"/>
        </w:rPr>
        <w:drawing>
          <wp:inline distT="0" distB="0" distL="0" distR="0" wp14:anchorId="073B42DD" wp14:editId="708D6BE7">
            <wp:extent cx="6270840" cy="6170213"/>
            <wp:effectExtent l="0" t="0" r="0" b="2540"/>
            <wp:docPr id="1981202179" name="Imagen 198120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3550" cy="6231917"/>
                    </a:xfrm>
                    <a:prstGeom prst="rect">
                      <a:avLst/>
                    </a:prstGeom>
                    <a:noFill/>
                    <a:ln>
                      <a:noFill/>
                    </a:ln>
                  </pic:spPr>
                </pic:pic>
              </a:graphicData>
            </a:graphic>
          </wp:inline>
        </w:drawing>
      </w:r>
    </w:p>
    <w:p w14:paraId="5959B5DB" w14:textId="5D563D95" w:rsidR="00F72AF6" w:rsidRPr="004F06F2" w:rsidRDefault="00F7510F" w:rsidP="002E34EB">
      <w:pPr>
        <w:spacing w:before="0" w:after="0"/>
        <w:jc w:val="center"/>
        <w:rPr>
          <w:rFonts w:eastAsia="Calibri" w:cs="Times New Roman"/>
          <w:b/>
          <w:bCs/>
          <w:sz w:val="22"/>
          <w:szCs w:val="22"/>
        </w:rPr>
      </w:pPr>
      <w:r w:rsidRPr="004F06F2">
        <w:rPr>
          <w:noProof/>
          <w:lang w:val="es-MX" w:eastAsia="es-MX"/>
        </w:rPr>
        <w:lastRenderedPageBreak/>
        <w:drawing>
          <wp:inline distT="0" distB="0" distL="0" distR="0" wp14:anchorId="39B6CB50" wp14:editId="4467009A">
            <wp:extent cx="6440557" cy="8228795"/>
            <wp:effectExtent l="0" t="0" r="0" b="1270"/>
            <wp:docPr id="1981202182" name="Imagen 198120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7691" cy="8289016"/>
                    </a:xfrm>
                    <a:prstGeom prst="rect">
                      <a:avLst/>
                    </a:prstGeom>
                    <a:noFill/>
                    <a:ln>
                      <a:noFill/>
                    </a:ln>
                  </pic:spPr>
                </pic:pic>
              </a:graphicData>
            </a:graphic>
          </wp:inline>
        </w:drawing>
      </w:r>
    </w:p>
    <w:p w14:paraId="61A26E6B" w14:textId="215B35A7" w:rsidR="00F72AF6" w:rsidRPr="004F06F2" w:rsidRDefault="00F7510F" w:rsidP="00EF4AE7">
      <w:pPr>
        <w:spacing w:before="0" w:after="0"/>
        <w:jc w:val="center"/>
        <w:rPr>
          <w:rFonts w:eastAsia="Calibri" w:cs="Times New Roman"/>
          <w:b/>
          <w:bCs/>
          <w:sz w:val="22"/>
          <w:szCs w:val="22"/>
        </w:rPr>
      </w:pPr>
      <w:r w:rsidRPr="004F06F2">
        <w:rPr>
          <w:noProof/>
          <w:lang w:val="es-MX" w:eastAsia="es-MX"/>
        </w:rPr>
        <w:lastRenderedPageBreak/>
        <w:drawing>
          <wp:inline distT="0" distB="0" distL="0" distR="0" wp14:anchorId="4E7985D1" wp14:editId="161E28D5">
            <wp:extent cx="6376946" cy="7965440"/>
            <wp:effectExtent l="0" t="0" r="5080" b="0"/>
            <wp:docPr id="1981202183" name="Imagen 198120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9733" cy="8006395"/>
                    </a:xfrm>
                    <a:prstGeom prst="rect">
                      <a:avLst/>
                    </a:prstGeom>
                    <a:noFill/>
                    <a:ln>
                      <a:noFill/>
                    </a:ln>
                  </pic:spPr>
                </pic:pic>
              </a:graphicData>
            </a:graphic>
          </wp:inline>
        </w:drawing>
      </w:r>
    </w:p>
    <w:p w14:paraId="2C0C5759" w14:textId="053D56E2" w:rsidR="00AD18D1" w:rsidRPr="004F06F2" w:rsidRDefault="00AD18D1" w:rsidP="00CD477C">
      <w:pPr>
        <w:spacing w:before="0" w:after="0"/>
        <w:rPr>
          <w:rFonts w:eastAsia="Calibri" w:cs="Times New Roman"/>
          <w:b/>
          <w:bCs/>
          <w:sz w:val="22"/>
          <w:szCs w:val="22"/>
        </w:rPr>
      </w:pPr>
    </w:p>
    <w:p w14:paraId="6305FE61" w14:textId="687B3A81" w:rsidR="00F7510F" w:rsidRPr="004F06F2" w:rsidRDefault="00621ACC" w:rsidP="007651E1">
      <w:pPr>
        <w:spacing w:before="0" w:after="0"/>
        <w:jc w:val="center"/>
        <w:rPr>
          <w:rFonts w:eastAsia="Calibri" w:cs="Times New Roman"/>
          <w:b/>
          <w:bCs/>
          <w:sz w:val="22"/>
          <w:szCs w:val="22"/>
        </w:rPr>
      </w:pPr>
      <w:r w:rsidRPr="00621ACC">
        <w:rPr>
          <w:noProof/>
          <w:lang w:val="es-MX" w:eastAsia="es-MX"/>
        </w:rPr>
        <w:lastRenderedPageBreak/>
        <w:drawing>
          <wp:inline distT="0" distB="0" distL="0" distR="0" wp14:anchorId="70C399F6" wp14:editId="132DA0EC">
            <wp:extent cx="5796501" cy="8190865"/>
            <wp:effectExtent l="0" t="0" r="0" b="0"/>
            <wp:docPr id="107754574" name="Imagen 107754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07088" cy="8205826"/>
                    </a:xfrm>
                    <a:prstGeom prst="rect">
                      <a:avLst/>
                    </a:prstGeom>
                    <a:noFill/>
                    <a:ln>
                      <a:noFill/>
                    </a:ln>
                  </pic:spPr>
                </pic:pic>
              </a:graphicData>
            </a:graphic>
          </wp:inline>
        </w:drawing>
      </w:r>
    </w:p>
    <w:p w14:paraId="77FCAC99" w14:textId="2CA236D1" w:rsidR="00F7510F" w:rsidRPr="004F06F2" w:rsidRDefault="00621ACC" w:rsidP="00F7510F">
      <w:pPr>
        <w:spacing w:before="0" w:after="0"/>
        <w:jc w:val="center"/>
        <w:rPr>
          <w:rFonts w:eastAsia="Calibri" w:cs="Times New Roman"/>
          <w:b/>
          <w:bCs/>
          <w:sz w:val="22"/>
          <w:szCs w:val="22"/>
        </w:rPr>
      </w:pPr>
      <w:r w:rsidRPr="00621ACC">
        <w:rPr>
          <w:noProof/>
          <w:lang w:val="es-MX" w:eastAsia="es-MX"/>
        </w:rPr>
        <w:lastRenderedPageBreak/>
        <w:drawing>
          <wp:inline distT="0" distB="0" distL="0" distR="0" wp14:anchorId="2631198E" wp14:editId="306F5069">
            <wp:extent cx="6114553" cy="7832090"/>
            <wp:effectExtent l="0" t="0" r="635" b="0"/>
            <wp:docPr id="107754582" name="Imagen 107754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38290" cy="7862494"/>
                    </a:xfrm>
                    <a:prstGeom prst="rect">
                      <a:avLst/>
                    </a:prstGeom>
                    <a:noFill/>
                    <a:ln>
                      <a:noFill/>
                    </a:ln>
                  </pic:spPr>
                </pic:pic>
              </a:graphicData>
            </a:graphic>
          </wp:inline>
        </w:drawing>
      </w:r>
    </w:p>
    <w:p w14:paraId="059781AB" w14:textId="77777777" w:rsidR="007D4F50" w:rsidRPr="004F06F2" w:rsidRDefault="007D4F50" w:rsidP="008C683A">
      <w:pPr>
        <w:spacing w:before="0" w:after="0"/>
        <w:rPr>
          <w:rFonts w:eastAsia="Calibri" w:cs="Times New Roman"/>
          <w:bCs/>
          <w:sz w:val="22"/>
          <w:szCs w:val="22"/>
        </w:rPr>
      </w:pPr>
    </w:p>
    <w:p w14:paraId="205636BE" w14:textId="77777777" w:rsidR="007D4F50" w:rsidRPr="004F06F2" w:rsidRDefault="007D4F50" w:rsidP="008C683A">
      <w:pPr>
        <w:spacing w:before="0" w:after="0"/>
        <w:rPr>
          <w:rFonts w:eastAsia="Calibri" w:cs="Times New Roman"/>
          <w:bCs/>
          <w:sz w:val="22"/>
          <w:szCs w:val="22"/>
        </w:rPr>
      </w:pPr>
    </w:p>
    <w:p w14:paraId="311E125C" w14:textId="2D500A8D" w:rsidR="00F7510F" w:rsidRPr="004F06F2" w:rsidRDefault="00125091" w:rsidP="008C683A">
      <w:pPr>
        <w:spacing w:before="0" w:after="0"/>
        <w:rPr>
          <w:noProof/>
          <w:lang w:val="es-MX" w:eastAsia="es-MX"/>
        </w:rPr>
      </w:pPr>
      <w:r w:rsidRPr="004F06F2">
        <w:rPr>
          <w:rFonts w:eastAsia="Calibri" w:cs="Times New Roman"/>
          <w:bCs/>
          <w:sz w:val="22"/>
          <w:szCs w:val="22"/>
        </w:rPr>
        <w:lastRenderedPageBreak/>
        <w:t xml:space="preserve">b) Enlistar los de mayor monto de disponibilidad, relacionando aquéllos que conforman </w:t>
      </w:r>
      <w:r w:rsidR="00C84C77" w:rsidRPr="004F06F2">
        <w:rPr>
          <w:rFonts w:eastAsia="Calibri" w:cs="Times New Roman"/>
          <w:bCs/>
          <w:sz w:val="22"/>
          <w:szCs w:val="22"/>
        </w:rPr>
        <w:t xml:space="preserve">al menos </w:t>
      </w:r>
      <w:r w:rsidRPr="004F06F2">
        <w:rPr>
          <w:rFonts w:eastAsia="Calibri" w:cs="Times New Roman"/>
          <w:bCs/>
          <w:sz w:val="22"/>
          <w:szCs w:val="22"/>
        </w:rPr>
        <w:t>el 80% de las disponibilidades.</w:t>
      </w:r>
    </w:p>
    <w:p w14:paraId="59CD1488" w14:textId="66335173" w:rsidR="00F7510F" w:rsidRPr="004F06F2" w:rsidRDefault="00A9107B" w:rsidP="00F7510F">
      <w:pPr>
        <w:spacing w:before="0" w:after="0"/>
        <w:jc w:val="center"/>
        <w:rPr>
          <w:rFonts w:eastAsia="Calibri" w:cs="Times New Roman"/>
          <w:bCs/>
          <w:sz w:val="22"/>
          <w:szCs w:val="22"/>
        </w:rPr>
      </w:pPr>
      <w:r w:rsidRPr="004F06F2">
        <w:rPr>
          <w:noProof/>
          <w:lang w:val="es-MX" w:eastAsia="es-MX"/>
        </w:rPr>
        <w:drawing>
          <wp:inline distT="0" distB="0" distL="0" distR="0" wp14:anchorId="4386BD22" wp14:editId="7C9CC4ED">
            <wp:extent cx="6162261" cy="7633335"/>
            <wp:effectExtent l="0" t="0" r="0" b="5715"/>
            <wp:docPr id="1981202194" name="Imagen 198120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03688" cy="7684652"/>
                    </a:xfrm>
                    <a:prstGeom prst="rect">
                      <a:avLst/>
                    </a:prstGeom>
                    <a:noFill/>
                    <a:ln>
                      <a:noFill/>
                    </a:ln>
                  </pic:spPr>
                </pic:pic>
              </a:graphicData>
            </a:graphic>
          </wp:inline>
        </w:drawing>
      </w:r>
    </w:p>
    <w:p w14:paraId="1E217E07" w14:textId="2073C528" w:rsidR="00125091" w:rsidRPr="004F06F2" w:rsidRDefault="00125091" w:rsidP="00125091">
      <w:pPr>
        <w:spacing w:before="0" w:after="0"/>
        <w:rPr>
          <w:rFonts w:eastAsia="Calibri" w:cs="Times New Roman"/>
          <w:bCs/>
          <w:sz w:val="22"/>
          <w:szCs w:val="22"/>
        </w:rPr>
      </w:pPr>
    </w:p>
    <w:p w14:paraId="6D23878B" w14:textId="42FD7E2D" w:rsidR="00C24CC7" w:rsidRPr="004F06F2" w:rsidRDefault="00C24CC7" w:rsidP="00125091">
      <w:pPr>
        <w:spacing w:before="0" w:after="0"/>
        <w:rPr>
          <w:rFonts w:eastAsia="Calibri" w:cs="Times New Roman"/>
          <w:bCs/>
          <w:sz w:val="22"/>
          <w:szCs w:val="22"/>
        </w:rPr>
      </w:pPr>
    </w:p>
    <w:p w14:paraId="50675C1D" w14:textId="10A58F34" w:rsidR="00BD4F6A" w:rsidRPr="004F06F2" w:rsidRDefault="00D63DFA" w:rsidP="00BD4F6A">
      <w:pPr>
        <w:spacing w:before="0" w:after="0"/>
        <w:rPr>
          <w:rFonts w:eastAsia="Calibri" w:cs="Times New Roman"/>
          <w:b/>
          <w:sz w:val="22"/>
          <w:szCs w:val="22"/>
        </w:rPr>
      </w:pPr>
      <w:r w:rsidRPr="004F06F2">
        <w:rPr>
          <w:rFonts w:eastAsia="Calibri" w:cs="Times New Roman"/>
          <w:b/>
          <w:sz w:val="22"/>
          <w:szCs w:val="22"/>
        </w:rPr>
        <w:t>9</w:t>
      </w:r>
      <w:r w:rsidR="00BD4F6A" w:rsidRPr="004F06F2">
        <w:rPr>
          <w:rFonts w:eastAsia="Calibri" w:cs="Times New Roman"/>
          <w:b/>
          <w:sz w:val="22"/>
          <w:szCs w:val="22"/>
        </w:rPr>
        <w:t>. Reporte de la Recaudación</w:t>
      </w:r>
    </w:p>
    <w:p w14:paraId="2062CF4E" w14:textId="36FEFC57" w:rsidR="00621ACC" w:rsidRPr="00EF4AE7" w:rsidRDefault="00621ACC" w:rsidP="00EF4AE7">
      <w:pPr>
        <w:spacing w:before="0" w:after="0"/>
        <w:rPr>
          <w:rFonts w:eastAsia="Calibri"/>
          <w:b/>
          <w:sz w:val="22"/>
          <w:szCs w:val="22"/>
        </w:rPr>
      </w:pPr>
      <w:r>
        <w:rPr>
          <w:rFonts w:eastAsia="Calibri" w:cs="Times New Roman"/>
          <w:b/>
          <w:sz w:val="22"/>
          <w:szCs w:val="22"/>
        </w:rPr>
        <w:t xml:space="preserve">a) </w:t>
      </w:r>
      <w:r w:rsidRPr="00EF4AE7">
        <w:rPr>
          <w:rFonts w:eastAsia="Calibri" w:cs="Times New Roman"/>
          <w:b/>
          <w:sz w:val="22"/>
          <w:szCs w:val="22"/>
        </w:rPr>
        <w:t>Análisis del comportamiento de la recaudación</w:t>
      </w:r>
    </w:p>
    <w:p w14:paraId="09B7AA12" w14:textId="77777777" w:rsidR="00621ACC" w:rsidRPr="00EF4AE7" w:rsidRDefault="00621ACC" w:rsidP="00EF4AE7">
      <w:pPr>
        <w:spacing w:before="0" w:after="0"/>
        <w:rPr>
          <w:rFonts w:eastAsia="Calibri"/>
          <w:b/>
          <w:sz w:val="22"/>
          <w:szCs w:val="22"/>
        </w:rPr>
      </w:pPr>
    </w:p>
    <w:p w14:paraId="660439FF" w14:textId="1A17B7CD" w:rsidR="00621ACC" w:rsidRPr="00EF4AE7" w:rsidRDefault="00621ACC" w:rsidP="00EF4AE7">
      <w:pPr>
        <w:rPr>
          <w:rFonts w:eastAsia="Calibri"/>
          <w:b/>
          <w:sz w:val="22"/>
          <w:szCs w:val="22"/>
        </w:rPr>
      </w:pPr>
      <w:r w:rsidRPr="00EF4AE7">
        <w:rPr>
          <w:rFonts w:eastAsia="Calibri" w:cs="Times New Roman"/>
          <w:b/>
          <w:sz w:val="22"/>
          <w:szCs w:val="22"/>
        </w:rPr>
        <w:t>I.</w:t>
      </w:r>
      <w:r>
        <w:rPr>
          <w:rFonts w:eastAsia="Calibri"/>
          <w:b/>
          <w:sz w:val="22"/>
          <w:szCs w:val="22"/>
        </w:rPr>
        <w:t xml:space="preserve"> </w:t>
      </w:r>
      <w:r w:rsidRPr="00EF4AE7">
        <w:rPr>
          <w:rFonts w:eastAsia="Calibri"/>
          <w:b/>
          <w:sz w:val="22"/>
          <w:szCs w:val="22"/>
        </w:rPr>
        <w:t>Ingresos de Fuentes Locales</w:t>
      </w:r>
    </w:p>
    <w:p w14:paraId="4B31D416" w14:textId="77777777" w:rsidR="00621ACC" w:rsidRPr="00EF4AE7" w:rsidRDefault="00621ACC" w:rsidP="00EF4AE7">
      <w:pPr>
        <w:spacing w:before="0" w:after="0"/>
        <w:rPr>
          <w:rFonts w:eastAsia="Calibri" w:cs="Times New Roman"/>
          <w:bCs/>
          <w:sz w:val="22"/>
          <w:szCs w:val="22"/>
        </w:rPr>
      </w:pPr>
      <w:r w:rsidRPr="00EF4AE7">
        <w:rPr>
          <w:rFonts w:eastAsia="Calibri" w:cs="Times New Roman"/>
          <w:bCs/>
          <w:sz w:val="22"/>
          <w:szCs w:val="22"/>
        </w:rPr>
        <w:t>Para 2024, la estimación total de ingresos fue de 95 mil 471 millones, 978 mil 325 pesos; en este ejercicio la proporción de ingresos locales estimados subió a 6.62 por ciento, respecto al ejercicio 2023, impulsado por un esfuerzo en las acciones de fiscalización por adeudos pendientes de impuestos y derechos, así como la recuperación de patrimonio por la liquidación del Fideicomiso de la Isla de la Palma; mientras que los ingresos federales representaron un 93.38 por ciento.</w:t>
      </w:r>
    </w:p>
    <w:p w14:paraId="51A231C6" w14:textId="77777777" w:rsidR="00621ACC" w:rsidRPr="00EF4AE7" w:rsidRDefault="00621ACC" w:rsidP="00EF4AE7">
      <w:pPr>
        <w:spacing w:before="0" w:after="0"/>
        <w:rPr>
          <w:rFonts w:eastAsia="Calibri" w:cs="Times New Roman"/>
          <w:bCs/>
          <w:sz w:val="22"/>
          <w:szCs w:val="22"/>
        </w:rPr>
      </w:pPr>
    </w:p>
    <w:p w14:paraId="565C5457" w14:textId="77777777" w:rsidR="00621ACC" w:rsidRPr="00EF4AE7" w:rsidRDefault="00621ACC" w:rsidP="00EF4AE7">
      <w:pPr>
        <w:spacing w:before="0" w:after="0"/>
        <w:rPr>
          <w:rFonts w:eastAsia="Calibri" w:cs="Times New Roman"/>
          <w:bCs/>
          <w:sz w:val="22"/>
          <w:szCs w:val="22"/>
        </w:rPr>
      </w:pPr>
      <w:r w:rsidRPr="00EF4AE7">
        <w:rPr>
          <w:rFonts w:eastAsia="Calibri" w:cs="Times New Roman"/>
          <w:bCs/>
          <w:sz w:val="22"/>
          <w:szCs w:val="22"/>
        </w:rPr>
        <w:t>En materia de impuestos, el Impuesto sobre Nómina representa la mayor fuente recaudatoria con el 92 por ciento respecto a los impuestos y un 42 por ciento respecto al total de ingresos propios, cerrando el primer trimestre en 945 millones 654 mil 074 pesos, lo que representa un avance de 36 por ciento respecto al total programado en la Ley de Ingresos, lo que representa un logro significativo hacia la meta, consolidando la recaudación de los contribuyentes del sector privado y la de adeudos pendientes del sector público estatal.</w:t>
      </w:r>
    </w:p>
    <w:p w14:paraId="2F1C7E86" w14:textId="77777777" w:rsidR="00621ACC" w:rsidRPr="00EF4AE7" w:rsidRDefault="00621ACC" w:rsidP="00EF4AE7">
      <w:pPr>
        <w:spacing w:before="0" w:after="0"/>
        <w:rPr>
          <w:rFonts w:eastAsia="Calibri" w:cs="Times New Roman"/>
          <w:bCs/>
          <w:sz w:val="22"/>
          <w:szCs w:val="22"/>
        </w:rPr>
      </w:pPr>
    </w:p>
    <w:p w14:paraId="732EAA40" w14:textId="77777777" w:rsidR="00621ACC" w:rsidRPr="00EF4AE7" w:rsidRDefault="00621ACC" w:rsidP="00EF4AE7">
      <w:pPr>
        <w:spacing w:before="0" w:after="0"/>
        <w:rPr>
          <w:rFonts w:eastAsia="Calibri" w:cs="Times New Roman"/>
          <w:bCs/>
          <w:sz w:val="22"/>
          <w:szCs w:val="22"/>
        </w:rPr>
      </w:pPr>
      <w:r w:rsidRPr="00EF4AE7">
        <w:rPr>
          <w:rFonts w:eastAsia="Calibri" w:cs="Times New Roman"/>
          <w:bCs/>
          <w:sz w:val="22"/>
          <w:szCs w:val="22"/>
        </w:rPr>
        <w:t>La recaudación de Derechos correspondientes a Servicios de Transporte Particular representó el 33 por ciento del total de los Derechos por Prestación de Servicios Estatales y un 49 por ciento de su meta programada. Se implementaron acciones para beneficio de los contribuyentes cumplidos con el subsidio del diez por ciento sobre la tarifa del refrendo anual vehicular durante el mes de enero, lo que reorientó la concentración de la recaudación de ese concepto.</w:t>
      </w:r>
    </w:p>
    <w:p w14:paraId="604655B4" w14:textId="77777777" w:rsidR="00621ACC" w:rsidRPr="00EF4AE7" w:rsidRDefault="00621ACC" w:rsidP="00EF4AE7">
      <w:pPr>
        <w:spacing w:before="0" w:after="0"/>
        <w:rPr>
          <w:rFonts w:eastAsia="Calibri" w:cs="Times New Roman"/>
          <w:bCs/>
          <w:sz w:val="22"/>
          <w:szCs w:val="22"/>
        </w:rPr>
      </w:pPr>
    </w:p>
    <w:p w14:paraId="0552CF5C" w14:textId="77777777" w:rsidR="00621ACC" w:rsidRPr="00EF4AE7" w:rsidRDefault="00621ACC" w:rsidP="00EF4AE7">
      <w:pPr>
        <w:spacing w:before="0" w:after="0"/>
        <w:rPr>
          <w:rFonts w:eastAsia="Calibri" w:cs="Times New Roman"/>
          <w:bCs/>
          <w:sz w:val="22"/>
          <w:szCs w:val="22"/>
        </w:rPr>
      </w:pPr>
      <w:r w:rsidRPr="00EF4AE7">
        <w:rPr>
          <w:rFonts w:eastAsia="Calibri" w:cs="Times New Roman"/>
          <w:bCs/>
          <w:sz w:val="22"/>
          <w:szCs w:val="22"/>
        </w:rPr>
        <w:t xml:space="preserve">En materia de Productos, la persistencia de altos niveles en las tasas de interés impulsó la obtención de elevados rendimientos de capital y valores en el trimestre. </w:t>
      </w:r>
    </w:p>
    <w:p w14:paraId="54E99E4A" w14:textId="77777777" w:rsidR="00621ACC" w:rsidRDefault="00621ACC" w:rsidP="00621ACC">
      <w:pPr>
        <w:rPr>
          <w:rFonts w:ascii="Grotesque Light" w:hAnsi="Grotesque Light"/>
          <w:bCs/>
          <w:szCs w:val="21"/>
          <w:shd w:val="clear" w:color="auto" w:fill="FFFFFF"/>
        </w:rPr>
      </w:pPr>
    </w:p>
    <w:p w14:paraId="216A5A9F" w14:textId="77777777" w:rsidR="00621ACC" w:rsidRPr="00EF4AE7" w:rsidRDefault="00621ACC" w:rsidP="00EF4AE7">
      <w:pPr>
        <w:spacing w:before="0" w:after="0"/>
        <w:rPr>
          <w:rFonts w:eastAsia="Calibri" w:cs="Times New Roman"/>
          <w:bCs/>
          <w:sz w:val="22"/>
          <w:szCs w:val="22"/>
        </w:rPr>
      </w:pPr>
      <w:r w:rsidRPr="00EF4AE7">
        <w:rPr>
          <w:rFonts w:eastAsia="Calibri" w:cs="Times New Roman"/>
          <w:bCs/>
          <w:sz w:val="22"/>
          <w:szCs w:val="22"/>
        </w:rPr>
        <w:t>Dentro de los Aprovechamientos, se tiene un avance del 18 por ciento, debido a la naturaleza de la programación de estos ingresos, concentrándose la estimación hacia el último trimestre del año.</w:t>
      </w:r>
    </w:p>
    <w:p w14:paraId="08234228" w14:textId="77777777" w:rsidR="00621ACC" w:rsidRPr="00EF4AE7" w:rsidRDefault="00621ACC" w:rsidP="00EF4AE7">
      <w:pPr>
        <w:spacing w:before="0" w:after="0"/>
        <w:rPr>
          <w:rFonts w:eastAsia="Calibri" w:cs="Times New Roman"/>
          <w:b/>
          <w:sz w:val="22"/>
          <w:szCs w:val="22"/>
        </w:rPr>
      </w:pPr>
    </w:p>
    <w:p w14:paraId="4BADBB71" w14:textId="7575B438" w:rsidR="00621ACC" w:rsidRPr="00EF4AE7" w:rsidRDefault="00621ACC" w:rsidP="00EF4AE7">
      <w:pPr>
        <w:spacing w:before="0" w:after="0"/>
        <w:rPr>
          <w:rFonts w:eastAsia="Calibri"/>
          <w:b/>
          <w:sz w:val="22"/>
          <w:szCs w:val="22"/>
        </w:rPr>
      </w:pPr>
      <w:r>
        <w:rPr>
          <w:rFonts w:eastAsia="Calibri" w:cs="Times New Roman"/>
          <w:b/>
          <w:sz w:val="22"/>
          <w:szCs w:val="22"/>
        </w:rPr>
        <w:t xml:space="preserve">II. </w:t>
      </w:r>
      <w:r w:rsidRPr="00EF4AE7">
        <w:rPr>
          <w:rFonts w:eastAsia="Calibri" w:cs="Times New Roman"/>
          <w:b/>
          <w:sz w:val="22"/>
          <w:szCs w:val="22"/>
        </w:rPr>
        <w:t>Ingresos de Fuentes Federales</w:t>
      </w:r>
    </w:p>
    <w:p w14:paraId="62FCBFC1" w14:textId="77777777" w:rsidR="00621ACC" w:rsidRPr="00EF4AE7" w:rsidRDefault="00621ACC" w:rsidP="00EF4AE7">
      <w:pPr>
        <w:spacing w:before="0" w:after="0"/>
        <w:rPr>
          <w:rFonts w:eastAsia="Calibri" w:cs="Times New Roman"/>
          <w:bCs/>
          <w:sz w:val="22"/>
          <w:szCs w:val="22"/>
        </w:rPr>
      </w:pPr>
      <w:r w:rsidRPr="00EF4AE7">
        <w:rPr>
          <w:rFonts w:eastAsia="Calibri" w:cs="Times New Roman"/>
          <w:bCs/>
          <w:sz w:val="22"/>
          <w:szCs w:val="22"/>
        </w:rPr>
        <w:t>Las Participaciones Federales han presentado una tendencia positiva durante el primer trimestre respecto a lo programado en Ley de Ingresos 2024 y en el “Acuerdo por el que se da a conocer a los gobiernos de las entidades federativas la distribución y calendarización para la ministración, durante el ejercicio fiscal de 2024, de los recursos correspondientes a los ramos generales 28 Participaciones a Entidades Federativas y Municipios y 33 Aportaciones Federales para Entidades Federativas y Municipios”. Lo anterior en función del comportamiento estacional de la Recaudación Federal Participable (RFP), que suele ser elevada en el primer cuatrimestre de cada ejercicio. En ese sentido, los recursos de participaciones ascendieron a 11 mil 516 millones 272 mil 847 pesos, representando un avance del 28 por ciento.</w:t>
      </w:r>
    </w:p>
    <w:p w14:paraId="155549EC" w14:textId="08192A38" w:rsidR="00621ACC" w:rsidRPr="00EF4AE7" w:rsidRDefault="00621ACC" w:rsidP="00EF4AE7">
      <w:pPr>
        <w:spacing w:before="0" w:after="0"/>
        <w:rPr>
          <w:rFonts w:eastAsia="Calibri" w:cs="Times New Roman"/>
          <w:bCs/>
          <w:sz w:val="22"/>
          <w:szCs w:val="22"/>
        </w:rPr>
      </w:pPr>
      <w:r w:rsidRPr="00EF4AE7">
        <w:rPr>
          <w:rFonts w:eastAsia="Calibri" w:cs="Times New Roman"/>
          <w:bCs/>
          <w:sz w:val="22"/>
          <w:szCs w:val="22"/>
        </w:rPr>
        <w:t xml:space="preserve">Por su parte, los recursos de Aportaciones Federales del Ramo 33 presentaron un avance del 24 por ciento; las transferencias por Convenio un 32 por ciento, ya que en la Ley de Ingresos solo se estiman los convenios recurrentes más significativos en materia de educación y salud. Finalmente, los Incentivos derivados de la Colaboración Fiscal superaron lo programado en todo el ejercicio </w:t>
      </w:r>
      <w:r w:rsidR="007651E1" w:rsidRPr="00EF4AE7">
        <w:rPr>
          <w:rFonts w:eastAsia="Calibri" w:cs="Times New Roman"/>
          <w:bCs/>
          <w:sz w:val="22"/>
          <w:szCs w:val="22"/>
        </w:rPr>
        <w:t>fiscal, derivado</w:t>
      </w:r>
      <w:r w:rsidRPr="00EF4AE7">
        <w:rPr>
          <w:rFonts w:eastAsia="Calibri" w:cs="Times New Roman"/>
          <w:bCs/>
          <w:sz w:val="22"/>
          <w:szCs w:val="22"/>
        </w:rPr>
        <w:t xml:space="preserve"> de acciones de recuperación de créditos fiscales mediante el mecanismo previsto en la cláusula décima séptima del Convenio de Colaboración Administrativa en Materia Fiscal Federal.</w:t>
      </w:r>
    </w:p>
    <w:p w14:paraId="0401B16A" w14:textId="77777777" w:rsidR="00621ACC" w:rsidRDefault="00621ACC" w:rsidP="00621ACC">
      <w:pPr>
        <w:rPr>
          <w:rFonts w:ascii="Grotesque Light" w:hAnsi="Grotesque Light"/>
        </w:rPr>
      </w:pPr>
    </w:p>
    <w:p w14:paraId="5BA65CEC" w14:textId="54FED5F2" w:rsidR="00621ACC" w:rsidRPr="00EF4AE7" w:rsidRDefault="00621ACC" w:rsidP="00EF4AE7">
      <w:pPr>
        <w:spacing w:before="0" w:after="0"/>
        <w:rPr>
          <w:rFonts w:eastAsia="Calibri"/>
          <w:b/>
          <w:sz w:val="22"/>
          <w:szCs w:val="22"/>
        </w:rPr>
      </w:pPr>
      <w:r>
        <w:rPr>
          <w:rFonts w:eastAsia="Calibri" w:cs="Times New Roman"/>
          <w:b/>
          <w:sz w:val="22"/>
          <w:szCs w:val="22"/>
        </w:rPr>
        <w:t xml:space="preserve">b) </w:t>
      </w:r>
      <w:r w:rsidRPr="00EF4AE7">
        <w:rPr>
          <w:rFonts w:eastAsia="Calibri" w:cs="Times New Roman"/>
          <w:b/>
          <w:sz w:val="22"/>
          <w:szCs w:val="22"/>
        </w:rPr>
        <w:t>Proyección de la recaudación en el mediano plazo</w:t>
      </w:r>
    </w:p>
    <w:p w14:paraId="1847A513" w14:textId="77777777" w:rsidR="00621ACC" w:rsidRPr="00EF4AE7" w:rsidRDefault="00621ACC" w:rsidP="00EF4AE7">
      <w:pPr>
        <w:spacing w:before="0" w:after="0"/>
        <w:rPr>
          <w:rFonts w:eastAsia="Calibri"/>
          <w:b/>
          <w:sz w:val="22"/>
          <w:szCs w:val="22"/>
        </w:rPr>
      </w:pPr>
    </w:p>
    <w:p w14:paraId="0F948D7E" w14:textId="125A7021" w:rsidR="00621ACC" w:rsidRPr="00EF4AE7" w:rsidRDefault="00621ACC" w:rsidP="00EF4AE7">
      <w:pPr>
        <w:spacing w:before="0" w:after="0"/>
        <w:rPr>
          <w:rFonts w:eastAsia="Calibri"/>
          <w:b/>
          <w:sz w:val="22"/>
          <w:szCs w:val="22"/>
        </w:rPr>
      </w:pPr>
      <w:r>
        <w:rPr>
          <w:rFonts w:eastAsia="Calibri" w:cs="Times New Roman"/>
          <w:b/>
          <w:sz w:val="22"/>
          <w:szCs w:val="22"/>
        </w:rPr>
        <w:t xml:space="preserve">I. </w:t>
      </w:r>
      <w:r w:rsidRPr="00EF4AE7">
        <w:rPr>
          <w:rFonts w:eastAsia="Calibri" w:cs="Times New Roman"/>
          <w:b/>
          <w:sz w:val="22"/>
          <w:szCs w:val="22"/>
        </w:rPr>
        <w:t>Ingresos de Fuentes Locales</w:t>
      </w:r>
    </w:p>
    <w:p w14:paraId="5104C81B" w14:textId="77777777" w:rsidR="00621ACC" w:rsidRPr="00EF4AE7" w:rsidRDefault="00621ACC" w:rsidP="00EF4AE7">
      <w:pPr>
        <w:spacing w:before="0" w:after="0"/>
        <w:rPr>
          <w:rFonts w:eastAsia="Calibri" w:cs="Times New Roman"/>
          <w:bCs/>
          <w:sz w:val="22"/>
          <w:szCs w:val="22"/>
        </w:rPr>
      </w:pPr>
      <w:r w:rsidRPr="00EF4AE7">
        <w:rPr>
          <w:rFonts w:eastAsia="Calibri" w:cs="Times New Roman"/>
          <w:bCs/>
          <w:sz w:val="22"/>
          <w:szCs w:val="22"/>
        </w:rPr>
        <w:t xml:space="preserve">Para realizar el pronóstico de los impuestos a recaudar en el período 2024-2029 se implementó un análisis econométrico de suavizamiento exponencial multiplicativo, utilizando los datos de recaudación en una serie de tiempo mensual de julio de 2019 a agosto del 2023, a partir de los cuales el modelo proyecta la cantidad a recaudar por cada mes correspondiente de cada año del </w:t>
      </w:r>
      <w:r w:rsidRPr="00EF4AE7">
        <w:rPr>
          <w:rFonts w:eastAsia="Calibri" w:cs="Times New Roman"/>
          <w:bCs/>
          <w:sz w:val="22"/>
          <w:szCs w:val="22"/>
        </w:rPr>
        <w:lastRenderedPageBreak/>
        <w:t>período, en función del comportamiento histórico del período. Adicionalmente se consideran otras variables que tienen incidencia específica en la proyección de cada uno de los impuestos estatales: a. Composición del Padrón de Contribuyentes, en donde la recaudación del sector público federal, estatal y municipal, para el caso del Impuesto sobre Nómina tiene un comportamiento distinto a la del sector privado.</w:t>
      </w:r>
    </w:p>
    <w:p w14:paraId="3F7D8987" w14:textId="77777777" w:rsidR="00621ACC" w:rsidRPr="00EF4AE7" w:rsidRDefault="00621ACC" w:rsidP="00EF4AE7">
      <w:pPr>
        <w:spacing w:before="0" w:after="0"/>
        <w:rPr>
          <w:rFonts w:eastAsia="Calibri" w:cs="Times New Roman"/>
          <w:bCs/>
          <w:sz w:val="22"/>
          <w:szCs w:val="22"/>
        </w:rPr>
      </w:pPr>
      <w:r w:rsidRPr="00EF4AE7">
        <w:rPr>
          <w:rFonts w:eastAsia="Calibri" w:cs="Times New Roman"/>
          <w:bCs/>
          <w:sz w:val="22"/>
          <w:szCs w:val="22"/>
        </w:rPr>
        <w:t>b. Valuación de estrategias para recuperación de adeudos de contribuyentes del sector privado.</w:t>
      </w:r>
    </w:p>
    <w:p w14:paraId="4E11D217" w14:textId="77777777" w:rsidR="00621ACC" w:rsidRPr="00EF4AE7" w:rsidRDefault="00621ACC" w:rsidP="00EF4AE7">
      <w:pPr>
        <w:spacing w:before="0" w:after="0"/>
        <w:rPr>
          <w:rFonts w:eastAsia="Calibri" w:cs="Times New Roman"/>
          <w:bCs/>
          <w:sz w:val="22"/>
          <w:szCs w:val="22"/>
        </w:rPr>
      </w:pPr>
      <w:r w:rsidRPr="00EF4AE7">
        <w:rPr>
          <w:rFonts w:eastAsia="Calibri" w:cs="Times New Roman"/>
          <w:bCs/>
          <w:sz w:val="22"/>
          <w:szCs w:val="22"/>
        </w:rPr>
        <w:t>c. Valuación de estrategias de incorporación al padrón.</w:t>
      </w:r>
    </w:p>
    <w:p w14:paraId="1CB5923A" w14:textId="77777777" w:rsidR="00621ACC" w:rsidRPr="00EF4AE7" w:rsidRDefault="00621ACC" w:rsidP="00EF4AE7">
      <w:pPr>
        <w:spacing w:before="0" w:after="0"/>
        <w:rPr>
          <w:rFonts w:eastAsia="Calibri" w:cs="Times New Roman"/>
          <w:bCs/>
          <w:sz w:val="22"/>
          <w:szCs w:val="22"/>
        </w:rPr>
      </w:pPr>
      <w:r w:rsidRPr="00EF4AE7">
        <w:rPr>
          <w:rFonts w:eastAsia="Calibri" w:cs="Times New Roman"/>
          <w:bCs/>
          <w:sz w:val="22"/>
          <w:szCs w:val="22"/>
        </w:rPr>
        <w:t>d. Ponderación del indicador de la actividad económica estatal, en la perspectiva de la creación de empresas y puestos de trabajo en Michoacán y que determinen la incorporación al padrón estatal.</w:t>
      </w:r>
    </w:p>
    <w:p w14:paraId="7CB774B0" w14:textId="77777777" w:rsidR="00621ACC" w:rsidRPr="00EF4AE7" w:rsidRDefault="00621ACC" w:rsidP="00EF4AE7">
      <w:pPr>
        <w:spacing w:before="0" w:after="0"/>
        <w:rPr>
          <w:rFonts w:eastAsia="Calibri" w:cs="Times New Roman"/>
          <w:bCs/>
          <w:sz w:val="22"/>
          <w:szCs w:val="22"/>
        </w:rPr>
      </w:pPr>
      <w:r w:rsidRPr="00EF4AE7">
        <w:rPr>
          <w:rFonts w:eastAsia="Calibri" w:cs="Times New Roman"/>
          <w:bCs/>
          <w:sz w:val="22"/>
          <w:szCs w:val="22"/>
        </w:rPr>
        <w:t>La proyección de Derechos se realizó con base en el número de trámites anuales, multiplicados por la tarifa correspondiente proyectada, considerando la inflación contenida en el marco macroeconómico 2022-2029 (Anexo III de los Criterios Generales de Política Económica 2024).</w:t>
      </w:r>
    </w:p>
    <w:p w14:paraId="250477EE" w14:textId="77777777" w:rsidR="00621ACC" w:rsidRPr="00EF4AE7" w:rsidRDefault="00621ACC" w:rsidP="00EF4AE7">
      <w:pPr>
        <w:spacing w:before="0" w:after="0"/>
        <w:rPr>
          <w:rFonts w:eastAsia="Calibri" w:cs="Times New Roman"/>
          <w:bCs/>
          <w:sz w:val="22"/>
          <w:szCs w:val="22"/>
        </w:rPr>
      </w:pPr>
      <w:r w:rsidRPr="00EF4AE7">
        <w:rPr>
          <w:rFonts w:eastAsia="Calibri" w:cs="Times New Roman"/>
          <w:bCs/>
          <w:sz w:val="22"/>
          <w:szCs w:val="22"/>
        </w:rPr>
        <w:t>La proyección de Productos, Aprovechamientos e Ingresos por Venta de Bienes se realiza con base en la tasa de crecimiento anual observada desde el ejercicio 2017-2023 y una estimación de esfuerzo recaudatorio promedio de 10% anual.</w:t>
      </w:r>
    </w:p>
    <w:p w14:paraId="37799FD5" w14:textId="77777777" w:rsidR="00621ACC" w:rsidRPr="00EF4AE7" w:rsidRDefault="00621ACC" w:rsidP="00EF4AE7">
      <w:pPr>
        <w:spacing w:before="0" w:after="0"/>
        <w:rPr>
          <w:rFonts w:eastAsia="Calibri" w:cs="Times New Roman"/>
          <w:bCs/>
          <w:sz w:val="22"/>
          <w:szCs w:val="22"/>
        </w:rPr>
      </w:pPr>
      <w:r w:rsidRPr="00EF4AE7">
        <w:rPr>
          <w:rFonts w:eastAsia="Calibri" w:cs="Times New Roman"/>
          <w:bCs/>
          <w:sz w:val="22"/>
          <w:szCs w:val="22"/>
        </w:rPr>
        <w:t>Los ingresos propios observan un crecimiento promedio anual de 10% en el período, atendiendo a la meta establecida por el Plan Integral de Desarrollo del Estado de Michoacán 2021-2027.</w:t>
      </w:r>
    </w:p>
    <w:p w14:paraId="4FF574F6" w14:textId="77777777" w:rsidR="00621ACC" w:rsidRDefault="00621ACC" w:rsidP="00621ACC">
      <w:pPr>
        <w:rPr>
          <w:rFonts w:ascii="Grotesque Light" w:hAnsi="Grotesque Light"/>
        </w:rPr>
      </w:pPr>
    </w:p>
    <w:p w14:paraId="1694DF41" w14:textId="4A34B9A3" w:rsidR="00621ACC" w:rsidRDefault="00621ACC" w:rsidP="00EF4AE7">
      <w:pPr>
        <w:spacing w:before="0" w:after="0"/>
        <w:rPr>
          <w:rFonts w:eastAsia="Calibri"/>
          <w:b/>
          <w:sz w:val="22"/>
          <w:szCs w:val="22"/>
        </w:rPr>
      </w:pPr>
      <w:r>
        <w:rPr>
          <w:rFonts w:eastAsia="Calibri" w:cs="Times New Roman"/>
          <w:b/>
          <w:sz w:val="22"/>
          <w:szCs w:val="22"/>
        </w:rPr>
        <w:t xml:space="preserve">II. </w:t>
      </w:r>
      <w:r w:rsidRPr="00EF4AE7">
        <w:rPr>
          <w:rFonts w:eastAsia="Calibri" w:cs="Times New Roman"/>
          <w:b/>
          <w:sz w:val="22"/>
          <w:szCs w:val="22"/>
        </w:rPr>
        <w:t>Ingresos de Fuentes Federales</w:t>
      </w:r>
    </w:p>
    <w:p w14:paraId="63C28EB6" w14:textId="77777777" w:rsidR="00621ACC" w:rsidRPr="00EF4AE7" w:rsidRDefault="00621ACC" w:rsidP="00EF4AE7">
      <w:pPr>
        <w:spacing w:before="0" w:after="0"/>
        <w:rPr>
          <w:rFonts w:eastAsia="Calibri"/>
          <w:b/>
          <w:sz w:val="22"/>
          <w:szCs w:val="22"/>
        </w:rPr>
      </w:pPr>
    </w:p>
    <w:p w14:paraId="68458AF1" w14:textId="77777777" w:rsidR="00621ACC" w:rsidRPr="00EF4AE7" w:rsidRDefault="00621ACC" w:rsidP="00EF4AE7">
      <w:pPr>
        <w:spacing w:before="0" w:after="0"/>
        <w:rPr>
          <w:rFonts w:eastAsia="Calibri" w:cs="Times New Roman"/>
          <w:bCs/>
          <w:sz w:val="22"/>
          <w:szCs w:val="22"/>
        </w:rPr>
      </w:pPr>
      <w:r w:rsidRPr="00EF4AE7">
        <w:rPr>
          <w:rFonts w:eastAsia="Calibri" w:cs="Times New Roman"/>
          <w:bCs/>
          <w:sz w:val="22"/>
          <w:szCs w:val="22"/>
        </w:rPr>
        <w:t>La estimación de Participaciones toma como base la información de los Requerimientos Financieros del Sector Público 2023-2029 de los Criterios Generales de Política Económica 2024, en donde se establece un escenario en el que, dentro del Gasto no Programable, las Participaciones representan el 3.7% del Producto Interno Bruto. A partir de la distribución histórica por entidad de estos recursos, se identificó la proyección 2025-2029 para Michoacán.</w:t>
      </w:r>
    </w:p>
    <w:p w14:paraId="4EF02095" w14:textId="77777777" w:rsidR="00621ACC" w:rsidRPr="00EF4AE7" w:rsidRDefault="00621ACC" w:rsidP="00EF4AE7">
      <w:pPr>
        <w:spacing w:before="0" w:after="0"/>
        <w:rPr>
          <w:rFonts w:eastAsia="Calibri" w:cs="Times New Roman"/>
          <w:bCs/>
          <w:sz w:val="22"/>
          <w:szCs w:val="22"/>
        </w:rPr>
      </w:pPr>
      <w:r w:rsidRPr="00EF4AE7">
        <w:rPr>
          <w:rFonts w:eastAsia="Calibri" w:cs="Times New Roman"/>
          <w:bCs/>
          <w:sz w:val="22"/>
          <w:szCs w:val="22"/>
        </w:rPr>
        <w:lastRenderedPageBreak/>
        <w:t>La estimación de Aportaciones, Convenios e Incentivos derivados de la Colaboración Fiscal se realizó con base en la tasa de crecimiento anual observada en el período 2017-2023.</w:t>
      </w:r>
    </w:p>
    <w:p w14:paraId="6D1ED695" w14:textId="77777777" w:rsidR="00621ACC" w:rsidRPr="00EF4AE7" w:rsidRDefault="00621ACC" w:rsidP="00EF4AE7">
      <w:pPr>
        <w:spacing w:before="0" w:after="0"/>
        <w:rPr>
          <w:rFonts w:eastAsia="Calibri" w:cs="Times New Roman"/>
          <w:bCs/>
          <w:sz w:val="22"/>
          <w:szCs w:val="22"/>
        </w:rPr>
      </w:pPr>
      <w:r w:rsidRPr="00EF4AE7">
        <w:rPr>
          <w:rFonts w:eastAsia="Calibri" w:cs="Times New Roman"/>
          <w:bCs/>
          <w:sz w:val="22"/>
          <w:szCs w:val="22"/>
        </w:rPr>
        <w:t>La estimación de Aportaciones, Convenios e Incentivos derivados de la Colaboración Fiscal se realizó con base en la tasa de crecimiento anual observada en el período 2017-2023.</w:t>
      </w:r>
    </w:p>
    <w:p w14:paraId="531B05E4" w14:textId="77777777" w:rsidR="00621ACC" w:rsidRDefault="00621ACC" w:rsidP="00621ACC">
      <w:pPr>
        <w:rPr>
          <w:rFonts w:ascii="Grotesque Light" w:hAnsi="Grotesque Light"/>
        </w:rPr>
      </w:pPr>
    </w:p>
    <w:tbl>
      <w:tblPr>
        <w:tblW w:w="0" w:type="auto"/>
        <w:tblCellMar>
          <w:left w:w="70" w:type="dxa"/>
          <w:right w:w="70" w:type="dxa"/>
        </w:tblCellMar>
        <w:tblLook w:val="04A0" w:firstRow="1" w:lastRow="0" w:firstColumn="1" w:lastColumn="0" w:noHBand="0" w:noVBand="1"/>
      </w:tblPr>
      <w:tblGrid>
        <w:gridCol w:w="1523"/>
        <w:gridCol w:w="999"/>
        <w:gridCol w:w="1074"/>
        <w:gridCol w:w="747"/>
        <w:gridCol w:w="1554"/>
        <w:gridCol w:w="2093"/>
        <w:gridCol w:w="2012"/>
      </w:tblGrid>
      <w:tr w:rsidR="00621ACC" w:rsidRPr="001752E5" w14:paraId="3CF3C711" w14:textId="77777777" w:rsidTr="0010219F">
        <w:trPr>
          <w:trHeight w:val="608"/>
        </w:trPr>
        <w:tc>
          <w:tcPr>
            <w:tcW w:w="0" w:type="auto"/>
            <w:tcBorders>
              <w:top w:val="single" w:sz="4" w:space="0" w:color="auto"/>
              <w:left w:val="nil"/>
              <w:bottom w:val="single" w:sz="4" w:space="0" w:color="auto"/>
              <w:right w:val="nil"/>
            </w:tcBorders>
            <w:shd w:val="clear" w:color="auto" w:fill="auto"/>
            <w:vAlign w:val="center"/>
            <w:hideMark/>
          </w:tcPr>
          <w:p w14:paraId="4EBDEE18" w14:textId="77777777" w:rsidR="00621ACC" w:rsidRPr="001752E5" w:rsidRDefault="00621ACC" w:rsidP="0010219F">
            <w:pPr>
              <w:spacing w:after="0" w:line="240" w:lineRule="auto"/>
              <w:jc w:val="center"/>
              <w:rPr>
                <w:rFonts w:ascii="Grotesque Light" w:eastAsia="Times New Roman" w:hAnsi="Grotesque Light" w:cs="Calibri"/>
                <w:b/>
                <w:bCs/>
                <w:color w:val="000000"/>
                <w:sz w:val="16"/>
                <w:szCs w:val="16"/>
                <w:lang w:eastAsia="es-MX"/>
              </w:rPr>
            </w:pPr>
            <w:r w:rsidRPr="001752E5">
              <w:rPr>
                <w:rFonts w:ascii="Grotesque Light" w:eastAsia="Times New Roman" w:hAnsi="Grotesque Light" w:cs="Calibri"/>
                <w:b/>
                <w:bCs/>
                <w:color w:val="000000"/>
                <w:sz w:val="16"/>
                <w:szCs w:val="16"/>
                <w:lang w:eastAsia="es-MX"/>
              </w:rPr>
              <w:t xml:space="preserve">PIB miles de millones </w:t>
            </w:r>
          </w:p>
        </w:tc>
        <w:tc>
          <w:tcPr>
            <w:tcW w:w="0" w:type="auto"/>
            <w:tcBorders>
              <w:top w:val="single" w:sz="4" w:space="0" w:color="auto"/>
              <w:left w:val="nil"/>
              <w:bottom w:val="single" w:sz="4" w:space="0" w:color="auto"/>
              <w:right w:val="nil"/>
            </w:tcBorders>
            <w:shd w:val="clear" w:color="auto" w:fill="auto"/>
            <w:vAlign w:val="center"/>
            <w:hideMark/>
          </w:tcPr>
          <w:p w14:paraId="6763E8A1" w14:textId="77777777" w:rsidR="00621ACC" w:rsidRPr="001752E5" w:rsidRDefault="00621ACC" w:rsidP="0010219F">
            <w:pPr>
              <w:spacing w:after="0" w:line="240" w:lineRule="auto"/>
              <w:jc w:val="center"/>
              <w:rPr>
                <w:rFonts w:ascii="Grotesque Light" w:eastAsia="Times New Roman" w:hAnsi="Grotesque Light" w:cs="Calibri"/>
                <w:b/>
                <w:bCs/>
                <w:color w:val="000000"/>
                <w:sz w:val="16"/>
                <w:szCs w:val="16"/>
                <w:lang w:eastAsia="es-MX"/>
              </w:rPr>
            </w:pPr>
            <w:r w:rsidRPr="001752E5">
              <w:rPr>
                <w:rFonts w:ascii="Grotesque Light" w:eastAsia="Times New Roman" w:hAnsi="Grotesque Light" w:cs="Calibri"/>
                <w:b/>
                <w:bCs/>
                <w:color w:val="000000"/>
                <w:sz w:val="16"/>
                <w:szCs w:val="16"/>
                <w:lang w:eastAsia="es-MX"/>
              </w:rPr>
              <w:t xml:space="preserve"> Crec. Nominal </w:t>
            </w:r>
          </w:p>
        </w:tc>
        <w:tc>
          <w:tcPr>
            <w:tcW w:w="0" w:type="auto"/>
            <w:tcBorders>
              <w:top w:val="single" w:sz="4" w:space="0" w:color="auto"/>
              <w:left w:val="nil"/>
              <w:bottom w:val="single" w:sz="4" w:space="0" w:color="auto"/>
              <w:right w:val="nil"/>
            </w:tcBorders>
            <w:shd w:val="clear" w:color="auto" w:fill="auto"/>
            <w:vAlign w:val="center"/>
            <w:hideMark/>
          </w:tcPr>
          <w:p w14:paraId="7EE0677D" w14:textId="77777777" w:rsidR="00621ACC" w:rsidRPr="001752E5" w:rsidRDefault="00621ACC" w:rsidP="0010219F">
            <w:pPr>
              <w:spacing w:after="0" w:line="240" w:lineRule="auto"/>
              <w:jc w:val="center"/>
              <w:rPr>
                <w:rFonts w:ascii="Grotesque Light" w:eastAsia="Times New Roman" w:hAnsi="Grotesque Light" w:cs="Calibri"/>
                <w:b/>
                <w:bCs/>
                <w:color w:val="000000"/>
                <w:sz w:val="16"/>
                <w:szCs w:val="16"/>
                <w:lang w:eastAsia="es-MX"/>
              </w:rPr>
            </w:pPr>
            <w:r w:rsidRPr="001752E5">
              <w:rPr>
                <w:rFonts w:ascii="Grotesque Light" w:eastAsia="Times New Roman" w:hAnsi="Grotesque Light" w:cs="Calibri"/>
                <w:b/>
                <w:bCs/>
                <w:color w:val="000000"/>
                <w:sz w:val="16"/>
                <w:szCs w:val="16"/>
                <w:lang w:eastAsia="es-MX"/>
              </w:rPr>
              <w:t xml:space="preserve"> Inflación dic/dic </w:t>
            </w:r>
          </w:p>
        </w:tc>
        <w:tc>
          <w:tcPr>
            <w:tcW w:w="0" w:type="auto"/>
            <w:tcBorders>
              <w:top w:val="single" w:sz="4" w:space="0" w:color="auto"/>
              <w:left w:val="nil"/>
              <w:bottom w:val="single" w:sz="4" w:space="0" w:color="auto"/>
              <w:right w:val="nil"/>
            </w:tcBorders>
            <w:shd w:val="clear" w:color="auto" w:fill="auto"/>
            <w:vAlign w:val="center"/>
            <w:hideMark/>
          </w:tcPr>
          <w:p w14:paraId="01EF220C" w14:textId="77777777" w:rsidR="00621ACC" w:rsidRPr="001752E5" w:rsidRDefault="00621ACC" w:rsidP="0010219F">
            <w:pPr>
              <w:spacing w:after="0" w:line="240" w:lineRule="auto"/>
              <w:jc w:val="center"/>
              <w:rPr>
                <w:rFonts w:ascii="Grotesque Light" w:eastAsia="Times New Roman" w:hAnsi="Grotesque Light" w:cs="Calibri"/>
                <w:b/>
                <w:bCs/>
                <w:color w:val="000000"/>
                <w:sz w:val="16"/>
                <w:szCs w:val="16"/>
                <w:lang w:eastAsia="es-MX"/>
              </w:rPr>
            </w:pPr>
            <w:r w:rsidRPr="001752E5">
              <w:rPr>
                <w:rFonts w:ascii="Grotesque Light" w:eastAsia="Times New Roman" w:hAnsi="Grotesque Light" w:cs="Calibri"/>
                <w:b/>
                <w:bCs/>
                <w:color w:val="000000"/>
                <w:sz w:val="16"/>
                <w:szCs w:val="16"/>
                <w:lang w:eastAsia="es-MX"/>
              </w:rPr>
              <w:t>Crec. Real</w:t>
            </w:r>
          </w:p>
        </w:tc>
        <w:tc>
          <w:tcPr>
            <w:tcW w:w="0" w:type="auto"/>
            <w:tcBorders>
              <w:top w:val="single" w:sz="4" w:space="0" w:color="auto"/>
              <w:left w:val="nil"/>
              <w:bottom w:val="single" w:sz="4" w:space="0" w:color="auto"/>
              <w:right w:val="nil"/>
            </w:tcBorders>
            <w:shd w:val="clear" w:color="auto" w:fill="auto"/>
            <w:vAlign w:val="center"/>
            <w:hideMark/>
          </w:tcPr>
          <w:p w14:paraId="4DF9CEBF" w14:textId="77777777" w:rsidR="00621ACC" w:rsidRPr="001752E5" w:rsidRDefault="00621ACC" w:rsidP="0010219F">
            <w:pPr>
              <w:spacing w:after="0" w:line="240" w:lineRule="auto"/>
              <w:jc w:val="center"/>
              <w:rPr>
                <w:rFonts w:ascii="Grotesque Light" w:eastAsia="Times New Roman" w:hAnsi="Grotesque Light" w:cs="Calibri"/>
                <w:b/>
                <w:bCs/>
                <w:color w:val="000000"/>
                <w:sz w:val="16"/>
                <w:szCs w:val="16"/>
                <w:lang w:eastAsia="es-MX"/>
              </w:rPr>
            </w:pPr>
            <w:r w:rsidRPr="001752E5">
              <w:rPr>
                <w:rFonts w:ascii="Grotesque Light" w:eastAsia="Times New Roman" w:hAnsi="Grotesque Light" w:cs="Calibri"/>
                <w:b/>
                <w:bCs/>
                <w:color w:val="000000"/>
                <w:sz w:val="16"/>
                <w:szCs w:val="16"/>
                <w:lang w:eastAsia="es-MX"/>
              </w:rPr>
              <w:t>Participaciones % PIB</w:t>
            </w:r>
          </w:p>
        </w:tc>
        <w:tc>
          <w:tcPr>
            <w:tcW w:w="0" w:type="auto"/>
            <w:tcBorders>
              <w:top w:val="single" w:sz="4" w:space="0" w:color="auto"/>
              <w:left w:val="nil"/>
              <w:bottom w:val="single" w:sz="4" w:space="0" w:color="auto"/>
              <w:right w:val="nil"/>
            </w:tcBorders>
            <w:shd w:val="clear" w:color="auto" w:fill="auto"/>
            <w:vAlign w:val="center"/>
            <w:hideMark/>
          </w:tcPr>
          <w:p w14:paraId="037D4B90" w14:textId="77777777" w:rsidR="00621ACC" w:rsidRPr="001752E5" w:rsidRDefault="00621ACC" w:rsidP="0010219F">
            <w:pPr>
              <w:spacing w:after="0" w:line="240" w:lineRule="auto"/>
              <w:jc w:val="center"/>
              <w:rPr>
                <w:rFonts w:ascii="Grotesque Light" w:eastAsia="Times New Roman" w:hAnsi="Grotesque Light" w:cs="Calibri"/>
                <w:b/>
                <w:bCs/>
                <w:color w:val="000000"/>
                <w:sz w:val="16"/>
                <w:szCs w:val="16"/>
                <w:lang w:eastAsia="es-MX"/>
              </w:rPr>
            </w:pPr>
            <w:r w:rsidRPr="001752E5">
              <w:rPr>
                <w:rFonts w:ascii="Grotesque Light" w:eastAsia="Times New Roman" w:hAnsi="Grotesque Light" w:cs="Calibri"/>
                <w:b/>
                <w:bCs/>
                <w:color w:val="000000"/>
                <w:sz w:val="16"/>
                <w:szCs w:val="16"/>
                <w:lang w:eastAsia="es-MX"/>
              </w:rPr>
              <w:t>Participaciones (miles de millones)</w:t>
            </w:r>
          </w:p>
        </w:tc>
        <w:tc>
          <w:tcPr>
            <w:tcW w:w="0" w:type="auto"/>
            <w:tcBorders>
              <w:top w:val="single" w:sz="4" w:space="0" w:color="auto"/>
              <w:left w:val="nil"/>
              <w:bottom w:val="single" w:sz="4" w:space="0" w:color="auto"/>
              <w:right w:val="nil"/>
            </w:tcBorders>
            <w:shd w:val="clear" w:color="auto" w:fill="auto"/>
            <w:vAlign w:val="center"/>
            <w:hideMark/>
          </w:tcPr>
          <w:p w14:paraId="78C87314" w14:textId="77777777" w:rsidR="00621ACC" w:rsidRPr="001752E5" w:rsidRDefault="00621ACC" w:rsidP="0010219F">
            <w:pPr>
              <w:spacing w:after="0" w:line="240" w:lineRule="auto"/>
              <w:jc w:val="center"/>
              <w:rPr>
                <w:rFonts w:ascii="Grotesque Light" w:eastAsia="Times New Roman" w:hAnsi="Grotesque Light" w:cs="Calibri"/>
                <w:b/>
                <w:bCs/>
                <w:color w:val="000000"/>
                <w:sz w:val="16"/>
                <w:szCs w:val="16"/>
                <w:lang w:eastAsia="es-MX"/>
              </w:rPr>
            </w:pPr>
            <w:r w:rsidRPr="001752E5">
              <w:rPr>
                <w:rFonts w:ascii="Grotesque Light" w:eastAsia="Times New Roman" w:hAnsi="Grotesque Light" w:cs="Calibri"/>
                <w:b/>
                <w:bCs/>
                <w:color w:val="000000"/>
                <w:sz w:val="16"/>
                <w:szCs w:val="16"/>
                <w:lang w:eastAsia="es-MX"/>
              </w:rPr>
              <w:t>Participaciones Michoacán (pesos)</w:t>
            </w:r>
          </w:p>
        </w:tc>
      </w:tr>
      <w:tr w:rsidR="00621ACC" w:rsidRPr="001752E5" w14:paraId="0791A0E8" w14:textId="77777777" w:rsidTr="0010219F">
        <w:trPr>
          <w:trHeight w:val="256"/>
        </w:trPr>
        <w:tc>
          <w:tcPr>
            <w:tcW w:w="0" w:type="auto"/>
            <w:tcBorders>
              <w:top w:val="nil"/>
              <w:left w:val="nil"/>
              <w:bottom w:val="nil"/>
              <w:right w:val="nil"/>
            </w:tcBorders>
            <w:shd w:val="clear" w:color="auto" w:fill="auto"/>
            <w:noWrap/>
            <w:vAlign w:val="center"/>
            <w:hideMark/>
          </w:tcPr>
          <w:p w14:paraId="6F28BA4E" w14:textId="77777777" w:rsidR="00621ACC" w:rsidRPr="001752E5" w:rsidRDefault="00621ACC" w:rsidP="0010219F">
            <w:pPr>
              <w:spacing w:after="0" w:line="240" w:lineRule="auto"/>
              <w:rPr>
                <w:rFonts w:ascii="Grotesque Light" w:eastAsia="Times New Roman" w:hAnsi="Grotesque Light" w:cs="Calibri"/>
                <w:color w:val="000000"/>
                <w:sz w:val="16"/>
                <w:szCs w:val="16"/>
                <w:lang w:eastAsia="es-MX"/>
              </w:rPr>
            </w:pPr>
            <w:r w:rsidRPr="001752E5">
              <w:rPr>
                <w:rFonts w:ascii="Grotesque Light" w:eastAsia="Times New Roman" w:hAnsi="Grotesque Light" w:cs="Calibri"/>
                <w:color w:val="000000"/>
                <w:sz w:val="16"/>
                <w:szCs w:val="16"/>
                <w:lang w:eastAsia="es-MX"/>
              </w:rPr>
              <w:t xml:space="preserve">        34,374.50 </w:t>
            </w:r>
          </w:p>
        </w:tc>
        <w:tc>
          <w:tcPr>
            <w:tcW w:w="0" w:type="auto"/>
            <w:tcBorders>
              <w:top w:val="nil"/>
              <w:left w:val="nil"/>
              <w:bottom w:val="nil"/>
              <w:right w:val="nil"/>
            </w:tcBorders>
            <w:shd w:val="clear" w:color="auto" w:fill="auto"/>
            <w:noWrap/>
            <w:vAlign w:val="center"/>
            <w:hideMark/>
          </w:tcPr>
          <w:p w14:paraId="08802818" w14:textId="77777777" w:rsidR="00621ACC" w:rsidRPr="001752E5" w:rsidRDefault="00621ACC" w:rsidP="0010219F">
            <w:pPr>
              <w:spacing w:after="0" w:line="240" w:lineRule="auto"/>
              <w:rPr>
                <w:rFonts w:ascii="Grotesque Light" w:eastAsia="Times New Roman" w:hAnsi="Grotesque Light" w:cs="Calibri"/>
                <w:color w:val="000000"/>
                <w:sz w:val="16"/>
                <w:szCs w:val="16"/>
                <w:lang w:eastAsia="es-MX"/>
              </w:rPr>
            </w:pPr>
          </w:p>
        </w:tc>
        <w:tc>
          <w:tcPr>
            <w:tcW w:w="0" w:type="auto"/>
            <w:tcBorders>
              <w:top w:val="nil"/>
              <w:left w:val="nil"/>
              <w:bottom w:val="nil"/>
              <w:right w:val="nil"/>
            </w:tcBorders>
            <w:shd w:val="clear" w:color="auto" w:fill="auto"/>
            <w:noWrap/>
            <w:vAlign w:val="center"/>
            <w:hideMark/>
          </w:tcPr>
          <w:p w14:paraId="378EC79B" w14:textId="77777777" w:rsidR="00621ACC" w:rsidRPr="001752E5" w:rsidRDefault="00621ACC" w:rsidP="0010219F">
            <w:pPr>
              <w:spacing w:after="0" w:line="240" w:lineRule="auto"/>
              <w:jc w:val="center"/>
              <w:rPr>
                <w:rFonts w:ascii="Grotesque Light" w:eastAsia="Times New Roman" w:hAnsi="Grotesque Light" w:cs="Calibri"/>
                <w:color w:val="000000"/>
                <w:sz w:val="16"/>
                <w:szCs w:val="16"/>
                <w:lang w:eastAsia="es-MX"/>
              </w:rPr>
            </w:pPr>
            <w:r w:rsidRPr="001752E5">
              <w:rPr>
                <w:rFonts w:ascii="Grotesque Light" w:eastAsia="Times New Roman" w:hAnsi="Grotesque Light" w:cs="Calibri"/>
                <w:color w:val="000000"/>
                <w:sz w:val="16"/>
                <w:szCs w:val="16"/>
                <w:lang w:eastAsia="es-MX"/>
              </w:rPr>
              <w:t>3.80%</w:t>
            </w:r>
          </w:p>
        </w:tc>
        <w:tc>
          <w:tcPr>
            <w:tcW w:w="0" w:type="auto"/>
            <w:tcBorders>
              <w:top w:val="nil"/>
              <w:left w:val="nil"/>
              <w:bottom w:val="nil"/>
              <w:right w:val="nil"/>
            </w:tcBorders>
            <w:shd w:val="clear" w:color="auto" w:fill="auto"/>
            <w:noWrap/>
            <w:vAlign w:val="center"/>
            <w:hideMark/>
          </w:tcPr>
          <w:p w14:paraId="7B8C698F" w14:textId="77777777" w:rsidR="00621ACC" w:rsidRPr="001752E5" w:rsidRDefault="00621ACC" w:rsidP="0010219F">
            <w:pPr>
              <w:spacing w:after="0" w:line="240" w:lineRule="auto"/>
              <w:jc w:val="center"/>
              <w:rPr>
                <w:rFonts w:ascii="Grotesque Light" w:eastAsia="Times New Roman" w:hAnsi="Grotesque Light" w:cs="Calibri"/>
                <w:color w:val="000000"/>
                <w:sz w:val="16"/>
                <w:szCs w:val="16"/>
                <w:lang w:eastAsia="es-MX"/>
              </w:rPr>
            </w:pPr>
          </w:p>
        </w:tc>
        <w:tc>
          <w:tcPr>
            <w:tcW w:w="0" w:type="auto"/>
            <w:tcBorders>
              <w:top w:val="nil"/>
              <w:left w:val="nil"/>
              <w:bottom w:val="nil"/>
              <w:right w:val="nil"/>
            </w:tcBorders>
            <w:shd w:val="clear" w:color="auto" w:fill="auto"/>
            <w:noWrap/>
            <w:vAlign w:val="center"/>
            <w:hideMark/>
          </w:tcPr>
          <w:p w14:paraId="54BA9480" w14:textId="77777777" w:rsidR="00621ACC" w:rsidRPr="001752E5" w:rsidRDefault="00621ACC" w:rsidP="0010219F">
            <w:pPr>
              <w:spacing w:after="0" w:line="240" w:lineRule="auto"/>
              <w:jc w:val="center"/>
              <w:rPr>
                <w:rFonts w:ascii="Grotesque Light" w:eastAsia="Times New Roman" w:hAnsi="Grotesque Light" w:cs="Calibri"/>
                <w:color w:val="000000"/>
                <w:sz w:val="16"/>
                <w:szCs w:val="16"/>
                <w:lang w:eastAsia="es-MX"/>
              </w:rPr>
            </w:pPr>
            <w:r w:rsidRPr="001752E5">
              <w:rPr>
                <w:rFonts w:ascii="Grotesque Light" w:eastAsia="Times New Roman" w:hAnsi="Grotesque Light" w:cs="Calibri"/>
                <w:color w:val="000000"/>
                <w:sz w:val="16"/>
                <w:szCs w:val="16"/>
                <w:lang w:eastAsia="es-MX"/>
              </w:rPr>
              <w:t>3.70%</w:t>
            </w:r>
          </w:p>
        </w:tc>
        <w:tc>
          <w:tcPr>
            <w:tcW w:w="0" w:type="auto"/>
            <w:tcBorders>
              <w:top w:val="nil"/>
              <w:left w:val="nil"/>
              <w:bottom w:val="nil"/>
              <w:right w:val="nil"/>
            </w:tcBorders>
            <w:shd w:val="clear" w:color="auto" w:fill="auto"/>
            <w:noWrap/>
            <w:vAlign w:val="center"/>
            <w:hideMark/>
          </w:tcPr>
          <w:p w14:paraId="14DFCE97" w14:textId="77777777" w:rsidR="00621ACC" w:rsidRPr="001752E5" w:rsidRDefault="00621ACC" w:rsidP="0010219F">
            <w:pPr>
              <w:spacing w:after="0" w:line="240" w:lineRule="auto"/>
              <w:jc w:val="center"/>
              <w:rPr>
                <w:rFonts w:ascii="Grotesque Light" w:eastAsia="Times New Roman" w:hAnsi="Grotesque Light" w:cs="Calibri"/>
                <w:color w:val="000000"/>
                <w:sz w:val="16"/>
                <w:szCs w:val="16"/>
                <w:lang w:eastAsia="es-MX"/>
              </w:rPr>
            </w:pPr>
            <w:r w:rsidRPr="001752E5">
              <w:rPr>
                <w:rFonts w:ascii="Grotesque Light" w:eastAsia="Times New Roman" w:hAnsi="Grotesque Light" w:cs="Calibri"/>
                <w:color w:val="000000"/>
                <w:sz w:val="16"/>
                <w:szCs w:val="16"/>
                <w:lang w:eastAsia="es-MX"/>
              </w:rPr>
              <w:t xml:space="preserve"> $             1,271.86 </w:t>
            </w:r>
          </w:p>
        </w:tc>
        <w:tc>
          <w:tcPr>
            <w:tcW w:w="0" w:type="auto"/>
            <w:tcBorders>
              <w:top w:val="nil"/>
              <w:left w:val="nil"/>
              <w:bottom w:val="nil"/>
              <w:right w:val="nil"/>
            </w:tcBorders>
            <w:shd w:val="clear" w:color="auto" w:fill="auto"/>
            <w:noWrap/>
            <w:vAlign w:val="center"/>
            <w:hideMark/>
          </w:tcPr>
          <w:p w14:paraId="69053365" w14:textId="77777777" w:rsidR="00621ACC" w:rsidRPr="001752E5" w:rsidRDefault="00621ACC" w:rsidP="0010219F">
            <w:pPr>
              <w:spacing w:after="0" w:line="240" w:lineRule="auto"/>
              <w:jc w:val="center"/>
              <w:rPr>
                <w:rFonts w:ascii="Grotesque Light" w:eastAsia="Times New Roman" w:hAnsi="Grotesque Light" w:cs="Calibri"/>
                <w:color w:val="000000"/>
                <w:sz w:val="16"/>
                <w:szCs w:val="16"/>
                <w:lang w:eastAsia="es-MX"/>
              </w:rPr>
            </w:pPr>
            <w:r w:rsidRPr="001752E5">
              <w:rPr>
                <w:rFonts w:ascii="Grotesque Light" w:eastAsia="Times New Roman" w:hAnsi="Grotesque Light" w:cs="Calibri"/>
                <w:color w:val="000000"/>
                <w:sz w:val="16"/>
                <w:szCs w:val="16"/>
                <w:lang w:eastAsia="es-MX"/>
              </w:rPr>
              <w:t>40,475,080,223</w:t>
            </w:r>
          </w:p>
        </w:tc>
      </w:tr>
      <w:tr w:rsidR="00621ACC" w:rsidRPr="001752E5" w14:paraId="051C5D8A" w14:textId="77777777" w:rsidTr="0010219F">
        <w:trPr>
          <w:trHeight w:val="256"/>
        </w:trPr>
        <w:tc>
          <w:tcPr>
            <w:tcW w:w="0" w:type="auto"/>
            <w:tcBorders>
              <w:top w:val="nil"/>
              <w:left w:val="nil"/>
              <w:bottom w:val="nil"/>
              <w:right w:val="nil"/>
            </w:tcBorders>
            <w:shd w:val="clear" w:color="auto" w:fill="auto"/>
            <w:noWrap/>
            <w:vAlign w:val="center"/>
            <w:hideMark/>
          </w:tcPr>
          <w:p w14:paraId="78D69761" w14:textId="77777777" w:rsidR="00621ACC" w:rsidRPr="001752E5" w:rsidRDefault="00621ACC" w:rsidP="0010219F">
            <w:pPr>
              <w:spacing w:after="0" w:line="240" w:lineRule="auto"/>
              <w:rPr>
                <w:rFonts w:ascii="Grotesque Light" w:eastAsia="Times New Roman" w:hAnsi="Grotesque Light" w:cs="Calibri"/>
                <w:color w:val="000000"/>
                <w:sz w:val="16"/>
                <w:szCs w:val="16"/>
                <w:lang w:eastAsia="es-MX"/>
              </w:rPr>
            </w:pPr>
            <w:r w:rsidRPr="001752E5">
              <w:rPr>
                <w:rFonts w:ascii="Grotesque Light" w:eastAsia="Times New Roman" w:hAnsi="Grotesque Light" w:cs="Calibri"/>
                <w:color w:val="000000"/>
                <w:sz w:val="16"/>
                <w:szCs w:val="16"/>
                <w:lang w:eastAsia="es-MX"/>
              </w:rPr>
              <w:t xml:space="preserve">        36,470.50 </w:t>
            </w:r>
          </w:p>
        </w:tc>
        <w:tc>
          <w:tcPr>
            <w:tcW w:w="0" w:type="auto"/>
            <w:tcBorders>
              <w:top w:val="nil"/>
              <w:left w:val="nil"/>
              <w:bottom w:val="nil"/>
              <w:right w:val="nil"/>
            </w:tcBorders>
            <w:shd w:val="clear" w:color="auto" w:fill="auto"/>
            <w:noWrap/>
            <w:vAlign w:val="center"/>
            <w:hideMark/>
          </w:tcPr>
          <w:p w14:paraId="5B7A5FCB" w14:textId="77777777" w:rsidR="00621ACC" w:rsidRPr="001752E5" w:rsidRDefault="00621ACC" w:rsidP="0010219F">
            <w:pPr>
              <w:spacing w:after="0" w:line="240" w:lineRule="auto"/>
              <w:jc w:val="center"/>
              <w:rPr>
                <w:rFonts w:ascii="Grotesque Light" w:eastAsia="Times New Roman" w:hAnsi="Grotesque Light" w:cs="Calibri"/>
                <w:color w:val="000000"/>
                <w:sz w:val="16"/>
                <w:szCs w:val="16"/>
                <w:lang w:eastAsia="es-MX"/>
              </w:rPr>
            </w:pPr>
            <w:r w:rsidRPr="001752E5">
              <w:rPr>
                <w:rFonts w:ascii="Grotesque Light" w:eastAsia="Times New Roman" w:hAnsi="Grotesque Light" w:cs="Calibri"/>
                <w:color w:val="000000"/>
                <w:sz w:val="16"/>
                <w:szCs w:val="16"/>
                <w:lang w:eastAsia="es-MX"/>
              </w:rPr>
              <w:t>6.10%</w:t>
            </w:r>
          </w:p>
        </w:tc>
        <w:tc>
          <w:tcPr>
            <w:tcW w:w="0" w:type="auto"/>
            <w:tcBorders>
              <w:top w:val="nil"/>
              <w:left w:val="nil"/>
              <w:bottom w:val="nil"/>
              <w:right w:val="nil"/>
            </w:tcBorders>
            <w:shd w:val="clear" w:color="auto" w:fill="auto"/>
            <w:noWrap/>
            <w:vAlign w:val="center"/>
            <w:hideMark/>
          </w:tcPr>
          <w:p w14:paraId="00B9DCD2" w14:textId="77777777" w:rsidR="00621ACC" w:rsidRPr="001752E5" w:rsidRDefault="00621ACC" w:rsidP="0010219F">
            <w:pPr>
              <w:spacing w:after="0" w:line="240" w:lineRule="auto"/>
              <w:jc w:val="center"/>
              <w:rPr>
                <w:rFonts w:ascii="Grotesque Light" w:eastAsia="Times New Roman" w:hAnsi="Grotesque Light" w:cs="Calibri"/>
                <w:color w:val="000000"/>
                <w:sz w:val="16"/>
                <w:szCs w:val="16"/>
                <w:lang w:eastAsia="es-MX"/>
              </w:rPr>
            </w:pPr>
            <w:r w:rsidRPr="001752E5">
              <w:rPr>
                <w:rFonts w:ascii="Grotesque Light" w:eastAsia="Times New Roman" w:hAnsi="Grotesque Light" w:cs="Calibri"/>
                <w:color w:val="000000"/>
                <w:sz w:val="16"/>
                <w:szCs w:val="16"/>
                <w:lang w:eastAsia="es-MX"/>
              </w:rPr>
              <w:t>3.00%</w:t>
            </w:r>
          </w:p>
        </w:tc>
        <w:tc>
          <w:tcPr>
            <w:tcW w:w="0" w:type="auto"/>
            <w:tcBorders>
              <w:top w:val="nil"/>
              <w:left w:val="nil"/>
              <w:bottom w:val="nil"/>
              <w:right w:val="nil"/>
            </w:tcBorders>
            <w:shd w:val="clear" w:color="auto" w:fill="auto"/>
            <w:noWrap/>
            <w:vAlign w:val="center"/>
            <w:hideMark/>
          </w:tcPr>
          <w:p w14:paraId="7559113E" w14:textId="77777777" w:rsidR="00621ACC" w:rsidRPr="001752E5" w:rsidRDefault="00621ACC" w:rsidP="0010219F">
            <w:pPr>
              <w:spacing w:after="0" w:line="240" w:lineRule="auto"/>
              <w:jc w:val="center"/>
              <w:rPr>
                <w:rFonts w:ascii="Grotesque Light" w:eastAsia="Times New Roman" w:hAnsi="Grotesque Light" w:cs="Calibri"/>
                <w:color w:val="000000"/>
                <w:sz w:val="16"/>
                <w:szCs w:val="16"/>
                <w:lang w:eastAsia="es-MX"/>
              </w:rPr>
            </w:pPr>
            <w:r w:rsidRPr="001752E5">
              <w:rPr>
                <w:rFonts w:ascii="Grotesque Light" w:eastAsia="Times New Roman" w:hAnsi="Grotesque Light" w:cs="Calibri"/>
                <w:color w:val="000000"/>
                <w:sz w:val="16"/>
                <w:szCs w:val="16"/>
                <w:lang w:eastAsia="es-MX"/>
              </w:rPr>
              <w:t>3.10%</w:t>
            </w:r>
          </w:p>
        </w:tc>
        <w:tc>
          <w:tcPr>
            <w:tcW w:w="0" w:type="auto"/>
            <w:tcBorders>
              <w:top w:val="nil"/>
              <w:left w:val="nil"/>
              <w:bottom w:val="nil"/>
              <w:right w:val="nil"/>
            </w:tcBorders>
            <w:shd w:val="clear" w:color="auto" w:fill="auto"/>
            <w:noWrap/>
            <w:vAlign w:val="center"/>
            <w:hideMark/>
          </w:tcPr>
          <w:p w14:paraId="74F77720" w14:textId="77777777" w:rsidR="00621ACC" w:rsidRPr="001752E5" w:rsidRDefault="00621ACC" w:rsidP="0010219F">
            <w:pPr>
              <w:spacing w:after="0" w:line="240" w:lineRule="auto"/>
              <w:jc w:val="center"/>
              <w:rPr>
                <w:rFonts w:ascii="Grotesque Light" w:eastAsia="Times New Roman" w:hAnsi="Grotesque Light" w:cs="Calibri"/>
                <w:color w:val="000000"/>
                <w:sz w:val="16"/>
                <w:szCs w:val="16"/>
                <w:lang w:eastAsia="es-MX"/>
              </w:rPr>
            </w:pPr>
            <w:r w:rsidRPr="001752E5">
              <w:rPr>
                <w:rFonts w:ascii="Grotesque Light" w:eastAsia="Times New Roman" w:hAnsi="Grotesque Light" w:cs="Calibri"/>
                <w:color w:val="000000"/>
                <w:sz w:val="16"/>
                <w:szCs w:val="16"/>
                <w:lang w:eastAsia="es-MX"/>
              </w:rPr>
              <w:t>3.70%</w:t>
            </w:r>
          </w:p>
        </w:tc>
        <w:tc>
          <w:tcPr>
            <w:tcW w:w="0" w:type="auto"/>
            <w:tcBorders>
              <w:top w:val="nil"/>
              <w:left w:val="nil"/>
              <w:bottom w:val="nil"/>
              <w:right w:val="nil"/>
            </w:tcBorders>
            <w:shd w:val="clear" w:color="auto" w:fill="auto"/>
            <w:noWrap/>
            <w:vAlign w:val="center"/>
            <w:hideMark/>
          </w:tcPr>
          <w:p w14:paraId="54A1F8E4" w14:textId="77777777" w:rsidR="00621ACC" w:rsidRPr="001752E5" w:rsidRDefault="00621ACC" w:rsidP="0010219F">
            <w:pPr>
              <w:spacing w:after="0" w:line="240" w:lineRule="auto"/>
              <w:jc w:val="center"/>
              <w:rPr>
                <w:rFonts w:ascii="Grotesque Light" w:eastAsia="Times New Roman" w:hAnsi="Grotesque Light" w:cs="Calibri"/>
                <w:color w:val="000000"/>
                <w:sz w:val="16"/>
                <w:szCs w:val="16"/>
                <w:lang w:eastAsia="es-MX"/>
              </w:rPr>
            </w:pPr>
            <w:r w:rsidRPr="001752E5">
              <w:rPr>
                <w:rFonts w:ascii="Grotesque Light" w:eastAsia="Times New Roman" w:hAnsi="Grotesque Light" w:cs="Calibri"/>
                <w:color w:val="000000"/>
                <w:sz w:val="16"/>
                <w:szCs w:val="16"/>
                <w:lang w:eastAsia="es-MX"/>
              </w:rPr>
              <w:t xml:space="preserve"> $             1,349.41 </w:t>
            </w:r>
          </w:p>
        </w:tc>
        <w:tc>
          <w:tcPr>
            <w:tcW w:w="0" w:type="auto"/>
            <w:tcBorders>
              <w:top w:val="nil"/>
              <w:left w:val="nil"/>
              <w:bottom w:val="nil"/>
              <w:right w:val="nil"/>
            </w:tcBorders>
            <w:shd w:val="clear" w:color="auto" w:fill="auto"/>
            <w:noWrap/>
            <w:vAlign w:val="center"/>
            <w:hideMark/>
          </w:tcPr>
          <w:p w14:paraId="64D61CD1" w14:textId="77777777" w:rsidR="00621ACC" w:rsidRPr="001752E5" w:rsidRDefault="00621ACC" w:rsidP="0010219F">
            <w:pPr>
              <w:spacing w:after="0" w:line="240" w:lineRule="auto"/>
              <w:jc w:val="center"/>
              <w:rPr>
                <w:rFonts w:ascii="Grotesque Light" w:eastAsia="Times New Roman" w:hAnsi="Grotesque Light" w:cs="Calibri"/>
                <w:color w:val="000000"/>
                <w:sz w:val="16"/>
                <w:szCs w:val="16"/>
                <w:lang w:eastAsia="es-MX"/>
              </w:rPr>
            </w:pPr>
            <w:r w:rsidRPr="001752E5">
              <w:rPr>
                <w:rFonts w:ascii="Grotesque Light" w:eastAsia="Times New Roman" w:hAnsi="Grotesque Light" w:cs="Calibri"/>
                <w:color w:val="000000"/>
                <w:sz w:val="16"/>
                <w:szCs w:val="16"/>
                <w:lang w:eastAsia="es-MX"/>
              </w:rPr>
              <w:t>42,911,190,300</w:t>
            </w:r>
          </w:p>
        </w:tc>
      </w:tr>
      <w:tr w:rsidR="00621ACC" w:rsidRPr="001752E5" w14:paraId="1046DF05" w14:textId="77777777" w:rsidTr="0010219F">
        <w:trPr>
          <w:trHeight w:val="256"/>
        </w:trPr>
        <w:tc>
          <w:tcPr>
            <w:tcW w:w="0" w:type="auto"/>
            <w:tcBorders>
              <w:top w:val="nil"/>
              <w:left w:val="nil"/>
              <w:bottom w:val="nil"/>
              <w:right w:val="nil"/>
            </w:tcBorders>
            <w:shd w:val="clear" w:color="auto" w:fill="auto"/>
            <w:noWrap/>
            <w:vAlign w:val="center"/>
            <w:hideMark/>
          </w:tcPr>
          <w:p w14:paraId="2C3D21EB" w14:textId="77777777" w:rsidR="00621ACC" w:rsidRPr="001752E5" w:rsidRDefault="00621ACC" w:rsidP="0010219F">
            <w:pPr>
              <w:spacing w:after="0" w:line="240" w:lineRule="auto"/>
              <w:rPr>
                <w:rFonts w:ascii="Grotesque Light" w:eastAsia="Times New Roman" w:hAnsi="Grotesque Light" w:cs="Calibri"/>
                <w:color w:val="000000"/>
                <w:sz w:val="16"/>
                <w:szCs w:val="16"/>
                <w:lang w:eastAsia="es-MX"/>
              </w:rPr>
            </w:pPr>
            <w:r w:rsidRPr="001752E5">
              <w:rPr>
                <w:rFonts w:ascii="Grotesque Light" w:eastAsia="Times New Roman" w:hAnsi="Grotesque Light" w:cs="Calibri"/>
                <w:color w:val="000000"/>
                <w:sz w:val="16"/>
                <w:szCs w:val="16"/>
                <w:lang w:eastAsia="es-MX"/>
              </w:rPr>
              <w:t xml:space="preserve">        38,682.30 </w:t>
            </w:r>
          </w:p>
        </w:tc>
        <w:tc>
          <w:tcPr>
            <w:tcW w:w="0" w:type="auto"/>
            <w:tcBorders>
              <w:top w:val="nil"/>
              <w:left w:val="nil"/>
              <w:bottom w:val="nil"/>
              <w:right w:val="nil"/>
            </w:tcBorders>
            <w:shd w:val="clear" w:color="auto" w:fill="auto"/>
            <w:noWrap/>
            <w:vAlign w:val="center"/>
            <w:hideMark/>
          </w:tcPr>
          <w:p w14:paraId="404B0359" w14:textId="77777777" w:rsidR="00621ACC" w:rsidRPr="001752E5" w:rsidRDefault="00621ACC" w:rsidP="0010219F">
            <w:pPr>
              <w:spacing w:after="0" w:line="240" w:lineRule="auto"/>
              <w:jc w:val="center"/>
              <w:rPr>
                <w:rFonts w:ascii="Grotesque Light" w:eastAsia="Times New Roman" w:hAnsi="Grotesque Light" w:cs="Calibri"/>
                <w:color w:val="000000"/>
                <w:sz w:val="16"/>
                <w:szCs w:val="16"/>
                <w:lang w:eastAsia="es-MX"/>
              </w:rPr>
            </w:pPr>
            <w:r w:rsidRPr="001752E5">
              <w:rPr>
                <w:rFonts w:ascii="Grotesque Light" w:eastAsia="Times New Roman" w:hAnsi="Grotesque Light" w:cs="Calibri"/>
                <w:color w:val="000000"/>
                <w:sz w:val="16"/>
                <w:szCs w:val="16"/>
                <w:lang w:eastAsia="es-MX"/>
              </w:rPr>
              <w:t>6.06%</w:t>
            </w:r>
          </w:p>
        </w:tc>
        <w:tc>
          <w:tcPr>
            <w:tcW w:w="0" w:type="auto"/>
            <w:tcBorders>
              <w:top w:val="nil"/>
              <w:left w:val="nil"/>
              <w:bottom w:val="nil"/>
              <w:right w:val="nil"/>
            </w:tcBorders>
            <w:shd w:val="clear" w:color="auto" w:fill="auto"/>
            <w:noWrap/>
            <w:vAlign w:val="center"/>
            <w:hideMark/>
          </w:tcPr>
          <w:p w14:paraId="18CC320B" w14:textId="77777777" w:rsidR="00621ACC" w:rsidRPr="001752E5" w:rsidRDefault="00621ACC" w:rsidP="0010219F">
            <w:pPr>
              <w:spacing w:after="0" w:line="240" w:lineRule="auto"/>
              <w:jc w:val="center"/>
              <w:rPr>
                <w:rFonts w:ascii="Grotesque Light" w:eastAsia="Times New Roman" w:hAnsi="Grotesque Light" w:cs="Calibri"/>
                <w:color w:val="000000"/>
                <w:sz w:val="16"/>
                <w:szCs w:val="16"/>
                <w:lang w:eastAsia="es-MX"/>
              </w:rPr>
            </w:pPr>
            <w:r w:rsidRPr="001752E5">
              <w:rPr>
                <w:rFonts w:ascii="Grotesque Light" w:eastAsia="Times New Roman" w:hAnsi="Grotesque Light" w:cs="Calibri"/>
                <w:color w:val="000000"/>
                <w:sz w:val="16"/>
                <w:szCs w:val="16"/>
                <w:lang w:eastAsia="es-MX"/>
              </w:rPr>
              <w:t>3.00%</w:t>
            </w:r>
          </w:p>
        </w:tc>
        <w:tc>
          <w:tcPr>
            <w:tcW w:w="0" w:type="auto"/>
            <w:tcBorders>
              <w:top w:val="nil"/>
              <w:left w:val="nil"/>
              <w:bottom w:val="nil"/>
              <w:right w:val="nil"/>
            </w:tcBorders>
            <w:shd w:val="clear" w:color="auto" w:fill="auto"/>
            <w:noWrap/>
            <w:vAlign w:val="center"/>
            <w:hideMark/>
          </w:tcPr>
          <w:p w14:paraId="6CA89920" w14:textId="77777777" w:rsidR="00621ACC" w:rsidRPr="001752E5" w:rsidRDefault="00621ACC" w:rsidP="0010219F">
            <w:pPr>
              <w:spacing w:after="0" w:line="240" w:lineRule="auto"/>
              <w:jc w:val="center"/>
              <w:rPr>
                <w:rFonts w:ascii="Grotesque Light" w:eastAsia="Times New Roman" w:hAnsi="Grotesque Light" w:cs="Calibri"/>
                <w:color w:val="000000"/>
                <w:sz w:val="16"/>
                <w:szCs w:val="16"/>
                <w:lang w:eastAsia="es-MX"/>
              </w:rPr>
            </w:pPr>
            <w:r w:rsidRPr="001752E5">
              <w:rPr>
                <w:rFonts w:ascii="Grotesque Light" w:eastAsia="Times New Roman" w:hAnsi="Grotesque Light" w:cs="Calibri"/>
                <w:color w:val="000000"/>
                <w:sz w:val="16"/>
                <w:szCs w:val="16"/>
                <w:lang w:eastAsia="es-MX"/>
              </w:rPr>
              <w:t>3.06%</w:t>
            </w:r>
          </w:p>
        </w:tc>
        <w:tc>
          <w:tcPr>
            <w:tcW w:w="0" w:type="auto"/>
            <w:tcBorders>
              <w:top w:val="nil"/>
              <w:left w:val="nil"/>
              <w:bottom w:val="nil"/>
              <w:right w:val="nil"/>
            </w:tcBorders>
            <w:shd w:val="clear" w:color="auto" w:fill="auto"/>
            <w:noWrap/>
            <w:vAlign w:val="center"/>
            <w:hideMark/>
          </w:tcPr>
          <w:p w14:paraId="1B074542" w14:textId="77777777" w:rsidR="00621ACC" w:rsidRPr="001752E5" w:rsidRDefault="00621ACC" w:rsidP="0010219F">
            <w:pPr>
              <w:spacing w:after="0" w:line="240" w:lineRule="auto"/>
              <w:jc w:val="center"/>
              <w:rPr>
                <w:rFonts w:ascii="Grotesque Light" w:eastAsia="Times New Roman" w:hAnsi="Grotesque Light" w:cs="Calibri"/>
                <w:color w:val="000000"/>
                <w:sz w:val="16"/>
                <w:szCs w:val="16"/>
                <w:lang w:eastAsia="es-MX"/>
              </w:rPr>
            </w:pPr>
            <w:r w:rsidRPr="001752E5">
              <w:rPr>
                <w:rFonts w:ascii="Grotesque Light" w:eastAsia="Times New Roman" w:hAnsi="Grotesque Light" w:cs="Calibri"/>
                <w:color w:val="000000"/>
                <w:sz w:val="16"/>
                <w:szCs w:val="16"/>
                <w:lang w:eastAsia="es-MX"/>
              </w:rPr>
              <w:t>3.70%</w:t>
            </w:r>
          </w:p>
        </w:tc>
        <w:tc>
          <w:tcPr>
            <w:tcW w:w="0" w:type="auto"/>
            <w:tcBorders>
              <w:top w:val="nil"/>
              <w:left w:val="nil"/>
              <w:bottom w:val="nil"/>
              <w:right w:val="nil"/>
            </w:tcBorders>
            <w:shd w:val="clear" w:color="auto" w:fill="auto"/>
            <w:noWrap/>
            <w:vAlign w:val="center"/>
            <w:hideMark/>
          </w:tcPr>
          <w:p w14:paraId="00F8A65C" w14:textId="77777777" w:rsidR="00621ACC" w:rsidRPr="001752E5" w:rsidRDefault="00621ACC" w:rsidP="0010219F">
            <w:pPr>
              <w:spacing w:after="0" w:line="240" w:lineRule="auto"/>
              <w:jc w:val="center"/>
              <w:rPr>
                <w:rFonts w:ascii="Grotesque Light" w:eastAsia="Times New Roman" w:hAnsi="Grotesque Light" w:cs="Calibri"/>
                <w:color w:val="000000"/>
                <w:sz w:val="16"/>
                <w:szCs w:val="16"/>
                <w:lang w:eastAsia="es-MX"/>
              </w:rPr>
            </w:pPr>
            <w:r w:rsidRPr="001752E5">
              <w:rPr>
                <w:rFonts w:ascii="Grotesque Light" w:eastAsia="Times New Roman" w:hAnsi="Grotesque Light" w:cs="Calibri"/>
                <w:color w:val="000000"/>
                <w:sz w:val="16"/>
                <w:szCs w:val="16"/>
                <w:lang w:eastAsia="es-MX"/>
              </w:rPr>
              <w:t xml:space="preserve"> $             1,431.25 </w:t>
            </w:r>
          </w:p>
        </w:tc>
        <w:tc>
          <w:tcPr>
            <w:tcW w:w="0" w:type="auto"/>
            <w:tcBorders>
              <w:top w:val="nil"/>
              <w:left w:val="nil"/>
              <w:bottom w:val="nil"/>
              <w:right w:val="nil"/>
            </w:tcBorders>
            <w:shd w:val="clear" w:color="auto" w:fill="auto"/>
            <w:noWrap/>
            <w:vAlign w:val="center"/>
            <w:hideMark/>
          </w:tcPr>
          <w:p w14:paraId="5E12BF6F" w14:textId="77777777" w:rsidR="00621ACC" w:rsidRPr="001752E5" w:rsidRDefault="00621ACC" w:rsidP="0010219F">
            <w:pPr>
              <w:spacing w:after="0" w:line="240" w:lineRule="auto"/>
              <w:jc w:val="center"/>
              <w:rPr>
                <w:rFonts w:ascii="Grotesque Light" w:eastAsia="Times New Roman" w:hAnsi="Grotesque Light" w:cs="Calibri"/>
                <w:color w:val="000000"/>
                <w:sz w:val="16"/>
                <w:szCs w:val="16"/>
                <w:lang w:eastAsia="es-MX"/>
              </w:rPr>
            </w:pPr>
            <w:r w:rsidRPr="001752E5">
              <w:rPr>
                <w:rFonts w:ascii="Grotesque Light" w:eastAsia="Times New Roman" w:hAnsi="Grotesque Light" w:cs="Calibri"/>
                <w:color w:val="000000"/>
                <w:sz w:val="16"/>
                <w:szCs w:val="16"/>
                <w:lang w:eastAsia="es-MX"/>
              </w:rPr>
              <w:t>45,799,843,200</w:t>
            </w:r>
          </w:p>
        </w:tc>
      </w:tr>
      <w:tr w:rsidR="00621ACC" w:rsidRPr="001752E5" w14:paraId="4E271B7A" w14:textId="77777777" w:rsidTr="0010219F">
        <w:trPr>
          <w:trHeight w:val="256"/>
        </w:trPr>
        <w:tc>
          <w:tcPr>
            <w:tcW w:w="0" w:type="auto"/>
            <w:tcBorders>
              <w:top w:val="nil"/>
              <w:left w:val="nil"/>
              <w:bottom w:val="nil"/>
              <w:right w:val="nil"/>
            </w:tcBorders>
            <w:shd w:val="clear" w:color="auto" w:fill="auto"/>
            <w:noWrap/>
            <w:vAlign w:val="center"/>
            <w:hideMark/>
          </w:tcPr>
          <w:p w14:paraId="09E66BA8" w14:textId="77777777" w:rsidR="00621ACC" w:rsidRPr="001752E5" w:rsidRDefault="00621ACC" w:rsidP="0010219F">
            <w:pPr>
              <w:spacing w:after="0" w:line="240" w:lineRule="auto"/>
              <w:rPr>
                <w:rFonts w:ascii="Grotesque Light" w:eastAsia="Times New Roman" w:hAnsi="Grotesque Light" w:cs="Calibri"/>
                <w:color w:val="000000"/>
                <w:sz w:val="16"/>
                <w:szCs w:val="16"/>
                <w:lang w:eastAsia="es-MX"/>
              </w:rPr>
            </w:pPr>
            <w:r w:rsidRPr="001752E5">
              <w:rPr>
                <w:rFonts w:ascii="Grotesque Light" w:eastAsia="Times New Roman" w:hAnsi="Grotesque Light" w:cs="Calibri"/>
                <w:color w:val="000000"/>
                <w:sz w:val="16"/>
                <w:szCs w:val="16"/>
                <w:lang w:eastAsia="es-MX"/>
              </w:rPr>
              <w:t xml:space="preserve">          41,037.10 </w:t>
            </w:r>
          </w:p>
        </w:tc>
        <w:tc>
          <w:tcPr>
            <w:tcW w:w="0" w:type="auto"/>
            <w:tcBorders>
              <w:top w:val="nil"/>
              <w:left w:val="nil"/>
              <w:bottom w:val="nil"/>
              <w:right w:val="nil"/>
            </w:tcBorders>
            <w:shd w:val="clear" w:color="auto" w:fill="auto"/>
            <w:noWrap/>
            <w:vAlign w:val="center"/>
            <w:hideMark/>
          </w:tcPr>
          <w:p w14:paraId="67BCBF48" w14:textId="77777777" w:rsidR="00621ACC" w:rsidRPr="001752E5" w:rsidRDefault="00621ACC" w:rsidP="0010219F">
            <w:pPr>
              <w:spacing w:after="0" w:line="240" w:lineRule="auto"/>
              <w:jc w:val="center"/>
              <w:rPr>
                <w:rFonts w:ascii="Grotesque Light" w:eastAsia="Times New Roman" w:hAnsi="Grotesque Light" w:cs="Calibri"/>
                <w:color w:val="000000"/>
                <w:sz w:val="16"/>
                <w:szCs w:val="16"/>
                <w:lang w:eastAsia="es-MX"/>
              </w:rPr>
            </w:pPr>
            <w:r w:rsidRPr="001752E5">
              <w:rPr>
                <w:rFonts w:ascii="Grotesque Light" w:eastAsia="Times New Roman" w:hAnsi="Grotesque Light" w:cs="Calibri"/>
                <w:color w:val="000000"/>
                <w:sz w:val="16"/>
                <w:szCs w:val="16"/>
                <w:lang w:eastAsia="es-MX"/>
              </w:rPr>
              <w:t>6.09%</w:t>
            </w:r>
          </w:p>
        </w:tc>
        <w:tc>
          <w:tcPr>
            <w:tcW w:w="0" w:type="auto"/>
            <w:tcBorders>
              <w:top w:val="nil"/>
              <w:left w:val="nil"/>
              <w:bottom w:val="nil"/>
              <w:right w:val="nil"/>
            </w:tcBorders>
            <w:shd w:val="clear" w:color="auto" w:fill="auto"/>
            <w:noWrap/>
            <w:vAlign w:val="center"/>
            <w:hideMark/>
          </w:tcPr>
          <w:p w14:paraId="4F031049" w14:textId="77777777" w:rsidR="00621ACC" w:rsidRPr="001752E5" w:rsidRDefault="00621ACC" w:rsidP="0010219F">
            <w:pPr>
              <w:spacing w:after="0" w:line="240" w:lineRule="auto"/>
              <w:jc w:val="center"/>
              <w:rPr>
                <w:rFonts w:ascii="Grotesque Light" w:eastAsia="Times New Roman" w:hAnsi="Grotesque Light" w:cs="Calibri"/>
                <w:color w:val="000000"/>
                <w:sz w:val="16"/>
                <w:szCs w:val="16"/>
                <w:lang w:eastAsia="es-MX"/>
              </w:rPr>
            </w:pPr>
            <w:r w:rsidRPr="001752E5">
              <w:rPr>
                <w:rFonts w:ascii="Grotesque Light" w:eastAsia="Times New Roman" w:hAnsi="Grotesque Light" w:cs="Calibri"/>
                <w:color w:val="000000"/>
                <w:sz w:val="16"/>
                <w:szCs w:val="16"/>
                <w:lang w:eastAsia="es-MX"/>
              </w:rPr>
              <w:t>3.00%</w:t>
            </w:r>
          </w:p>
        </w:tc>
        <w:tc>
          <w:tcPr>
            <w:tcW w:w="0" w:type="auto"/>
            <w:tcBorders>
              <w:top w:val="nil"/>
              <w:left w:val="nil"/>
              <w:bottom w:val="nil"/>
              <w:right w:val="nil"/>
            </w:tcBorders>
            <w:shd w:val="clear" w:color="auto" w:fill="auto"/>
            <w:noWrap/>
            <w:vAlign w:val="center"/>
            <w:hideMark/>
          </w:tcPr>
          <w:p w14:paraId="4394A646" w14:textId="77777777" w:rsidR="00621ACC" w:rsidRPr="001752E5" w:rsidRDefault="00621ACC" w:rsidP="0010219F">
            <w:pPr>
              <w:spacing w:after="0" w:line="240" w:lineRule="auto"/>
              <w:jc w:val="center"/>
              <w:rPr>
                <w:rFonts w:ascii="Grotesque Light" w:eastAsia="Times New Roman" w:hAnsi="Grotesque Light" w:cs="Calibri"/>
                <w:color w:val="000000"/>
                <w:sz w:val="16"/>
                <w:szCs w:val="16"/>
                <w:lang w:eastAsia="es-MX"/>
              </w:rPr>
            </w:pPr>
            <w:r w:rsidRPr="001752E5">
              <w:rPr>
                <w:rFonts w:ascii="Grotesque Light" w:eastAsia="Times New Roman" w:hAnsi="Grotesque Light" w:cs="Calibri"/>
                <w:color w:val="000000"/>
                <w:sz w:val="16"/>
                <w:szCs w:val="16"/>
                <w:lang w:eastAsia="es-MX"/>
              </w:rPr>
              <w:t>3.09%</w:t>
            </w:r>
          </w:p>
        </w:tc>
        <w:tc>
          <w:tcPr>
            <w:tcW w:w="0" w:type="auto"/>
            <w:tcBorders>
              <w:top w:val="nil"/>
              <w:left w:val="nil"/>
              <w:bottom w:val="nil"/>
              <w:right w:val="nil"/>
            </w:tcBorders>
            <w:shd w:val="clear" w:color="auto" w:fill="auto"/>
            <w:noWrap/>
            <w:vAlign w:val="center"/>
            <w:hideMark/>
          </w:tcPr>
          <w:p w14:paraId="38BB9888" w14:textId="77777777" w:rsidR="00621ACC" w:rsidRPr="001752E5" w:rsidRDefault="00621ACC" w:rsidP="0010219F">
            <w:pPr>
              <w:spacing w:after="0" w:line="240" w:lineRule="auto"/>
              <w:jc w:val="center"/>
              <w:rPr>
                <w:rFonts w:ascii="Grotesque Light" w:eastAsia="Times New Roman" w:hAnsi="Grotesque Light" w:cs="Calibri"/>
                <w:color w:val="000000"/>
                <w:sz w:val="16"/>
                <w:szCs w:val="16"/>
                <w:lang w:eastAsia="es-MX"/>
              </w:rPr>
            </w:pPr>
            <w:r w:rsidRPr="001752E5">
              <w:rPr>
                <w:rFonts w:ascii="Grotesque Light" w:eastAsia="Times New Roman" w:hAnsi="Grotesque Light" w:cs="Calibri"/>
                <w:color w:val="000000"/>
                <w:sz w:val="16"/>
                <w:szCs w:val="16"/>
                <w:lang w:eastAsia="es-MX"/>
              </w:rPr>
              <w:t>3.70%</w:t>
            </w:r>
          </w:p>
        </w:tc>
        <w:tc>
          <w:tcPr>
            <w:tcW w:w="0" w:type="auto"/>
            <w:tcBorders>
              <w:top w:val="nil"/>
              <w:left w:val="nil"/>
              <w:bottom w:val="nil"/>
              <w:right w:val="nil"/>
            </w:tcBorders>
            <w:shd w:val="clear" w:color="auto" w:fill="auto"/>
            <w:noWrap/>
            <w:vAlign w:val="center"/>
            <w:hideMark/>
          </w:tcPr>
          <w:p w14:paraId="0FD76FBA" w14:textId="77777777" w:rsidR="00621ACC" w:rsidRPr="001752E5" w:rsidRDefault="00621ACC" w:rsidP="0010219F">
            <w:pPr>
              <w:spacing w:after="0" w:line="240" w:lineRule="auto"/>
              <w:jc w:val="center"/>
              <w:rPr>
                <w:rFonts w:ascii="Grotesque Light" w:eastAsia="Times New Roman" w:hAnsi="Grotesque Light" w:cs="Calibri"/>
                <w:color w:val="000000"/>
                <w:sz w:val="16"/>
                <w:szCs w:val="16"/>
                <w:lang w:eastAsia="es-MX"/>
              </w:rPr>
            </w:pPr>
            <w:r w:rsidRPr="001752E5">
              <w:rPr>
                <w:rFonts w:ascii="Grotesque Light" w:eastAsia="Times New Roman" w:hAnsi="Grotesque Light" w:cs="Calibri"/>
                <w:color w:val="000000"/>
                <w:sz w:val="16"/>
                <w:szCs w:val="16"/>
                <w:lang w:eastAsia="es-MX"/>
              </w:rPr>
              <w:t xml:space="preserve"> $             1,518.37 </w:t>
            </w:r>
          </w:p>
        </w:tc>
        <w:tc>
          <w:tcPr>
            <w:tcW w:w="0" w:type="auto"/>
            <w:tcBorders>
              <w:top w:val="nil"/>
              <w:left w:val="nil"/>
              <w:bottom w:val="nil"/>
              <w:right w:val="nil"/>
            </w:tcBorders>
            <w:shd w:val="clear" w:color="auto" w:fill="auto"/>
            <w:noWrap/>
            <w:vAlign w:val="center"/>
            <w:hideMark/>
          </w:tcPr>
          <w:p w14:paraId="56E5EFA3" w14:textId="77777777" w:rsidR="00621ACC" w:rsidRPr="001752E5" w:rsidRDefault="00621ACC" w:rsidP="0010219F">
            <w:pPr>
              <w:spacing w:after="0" w:line="240" w:lineRule="auto"/>
              <w:jc w:val="center"/>
              <w:rPr>
                <w:rFonts w:ascii="Grotesque Light" w:eastAsia="Times New Roman" w:hAnsi="Grotesque Light" w:cs="Calibri"/>
                <w:color w:val="000000"/>
                <w:sz w:val="16"/>
                <w:szCs w:val="16"/>
                <w:lang w:eastAsia="es-MX"/>
              </w:rPr>
            </w:pPr>
            <w:r w:rsidRPr="001752E5">
              <w:rPr>
                <w:rFonts w:ascii="Grotesque Light" w:eastAsia="Times New Roman" w:hAnsi="Grotesque Light" w:cs="Calibri"/>
                <w:color w:val="000000"/>
                <w:sz w:val="16"/>
                <w:szCs w:val="16"/>
                <w:lang w:eastAsia="es-MX"/>
              </w:rPr>
              <w:t>47,828,740,050</w:t>
            </w:r>
          </w:p>
        </w:tc>
      </w:tr>
      <w:tr w:rsidR="00621ACC" w:rsidRPr="001752E5" w14:paraId="2901DCC2" w14:textId="77777777" w:rsidTr="0010219F">
        <w:trPr>
          <w:trHeight w:val="256"/>
        </w:trPr>
        <w:tc>
          <w:tcPr>
            <w:tcW w:w="0" w:type="auto"/>
            <w:tcBorders>
              <w:top w:val="nil"/>
              <w:left w:val="nil"/>
              <w:bottom w:val="nil"/>
              <w:right w:val="nil"/>
            </w:tcBorders>
            <w:shd w:val="clear" w:color="auto" w:fill="auto"/>
            <w:noWrap/>
            <w:vAlign w:val="center"/>
            <w:hideMark/>
          </w:tcPr>
          <w:p w14:paraId="4D55FA4D" w14:textId="77777777" w:rsidR="00621ACC" w:rsidRPr="001752E5" w:rsidRDefault="00621ACC" w:rsidP="0010219F">
            <w:pPr>
              <w:spacing w:after="0" w:line="240" w:lineRule="auto"/>
              <w:rPr>
                <w:rFonts w:ascii="Grotesque Light" w:eastAsia="Times New Roman" w:hAnsi="Grotesque Light" w:cs="Calibri"/>
                <w:color w:val="000000"/>
                <w:sz w:val="16"/>
                <w:szCs w:val="16"/>
                <w:lang w:eastAsia="es-MX"/>
              </w:rPr>
            </w:pPr>
            <w:r w:rsidRPr="001752E5">
              <w:rPr>
                <w:rFonts w:ascii="Grotesque Light" w:eastAsia="Times New Roman" w:hAnsi="Grotesque Light" w:cs="Calibri"/>
                <w:color w:val="000000"/>
                <w:sz w:val="16"/>
                <w:szCs w:val="16"/>
                <w:lang w:eastAsia="es-MX"/>
              </w:rPr>
              <w:t xml:space="preserve">        43,535.20 </w:t>
            </w:r>
          </w:p>
        </w:tc>
        <w:tc>
          <w:tcPr>
            <w:tcW w:w="0" w:type="auto"/>
            <w:tcBorders>
              <w:top w:val="nil"/>
              <w:left w:val="nil"/>
              <w:bottom w:val="nil"/>
              <w:right w:val="nil"/>
            </w:tcBorders>
            <w:shd w:val="clear" w:color="auto" w:fill="auto"/>
            <w:noWrap/>
            <w:vAlign w:val="center"/>
            <w:hideMark/>
          </w:tcPr>
          <w:p w14:paraId="767033C9" w14:textId="77777777" w:rsidR="00621ACC" w:rsidRPr="001752E5" w:rsidRDefault="00621ACC" w:rsidP="0010219F">
            <w:pPr>
              <w:spacing w:after="0" w:line="240" w:lineRule="auto"/>
              <w:jc w:val="center"/>
              <w:rPr>
                <w:rFonts w:ascii="Grotesque Light" w:eastAsia="Times New Roman" w:hAnsi="Grotesque Light" w:cs="Calibri"/>
                <w:color w:val="000000"/>
                <w:sz w:val="16"/>
                <w:szCs w:val="16"/>
                <w:lang w:eastAsia="es-MX"/>
              </w:rPr>
            </w:pPr>
            <w:r w:rsidRPr="001752E5">
              <w:rPr>
                <w:rFonts w:ascii="Grotesque Light" w:eastAsia="Times New Roman" w:hAnsi="Grotesque Light" w:cs="Calibri"/>
                <w:color w:val="000000"/>
                <w:sz w:val="16"/>
                <w:szCs w:val="16"/>
                <w:lang w:eastAsia="es-MX"/>
              </w:rPr>
              <w:t>6.09%</w:t>
            </w:r>
          </w:p>
        </w:tc>
        <w:tc>
          <w:tcPr>
            <w:tcW w:w="0" w:type="auto"/>
            <w:tcBorders>
              <w:top w:val="nil"/>
              <w:left w:val="nil"/>
              <w:bottom w:val="nil"/>
              <w:right w:val="nil"/>
            </w:tcBorders>
            <w:shd w:val="clear" w:color="auto" w:fill="auto"/>
            <w:noWrap/>
            <w:vAlign w:val="center"/>
            <w:hideMark/>
          </w:tcPr>
          <w:p w14:paraId="497FA1BA" w14:textId="77777777" w:rsidR="00621ACC" w:rsidRPr="001752E5" w:rsidRDefault="00621ACC" w:rsidP="0010219F">
            <w:pPr>
              <w:spacing w:after="0" w:line="240" w:lineRule="auto"/>
              <w:jc w:val="center"/>
              <w:rPr>
                <w:rFonts w:ascii="Grotesque Light" w:eastAsia="Times New Roman" w:hAnsi="Grotesque Light" w:cs="Calibri"/>
                <w:color w:val="000000"/>
                <w:sz w:val="16"/>
                <w:szCs w:val="16"/>
                <w:lang w:eastAsia="es-MX"/>
              </w:rPr>
            </w:pPr>
            <w:r w:rsidRPr="001752E5">
              <w:rPr>
                <w:rFonts w:ascii="Grotesque Light" w:eastAsia="Times New Roman" w:hAnsi="Grotesque Light" w:cs="Calibri"/>
                <w:color w:val="000000"/>
                <w:sz w:val="16"/>
                <w:szCs w:val="16"/>
                <w:lang w:eastAsia="es-MX"/>
              </w:rPr>
              <w:t>3.00%</w:t>
            </w:r>
          </w:p>
        </w:tc>
        <w:tc>
          <w:tcPr>
            <w:tcW w:w="0" w:type="auto"/>
            <w:tcBorders>
              <w:top w:val="nil"/>
              <w:left w:val="nil"/>
              <w:bottom w:val="nil"/>
              <w:right w:val="nil"/>
            </w:tcBorders>
            <w:shd w:val="clear" w:color="auto" w:fill="auto"/>
            <w:noWrap/>
            <w:vAlign w:val="center"/>
            <w:hideMark/>
          </w:tcPr>
          <w:p w14:paraId="406C3237" w14:textId="77777777" w:rsidR="00621ACC" w:rsidRPr="001752E5" w:rsidRDefault="00621ACC" w:rsidP="0010219F">
            <w:pPr>
              <w:spacing w:after="0" w:line="240" w:lineRule="auto"/>
              <w:jc w:val="center"/>
              <w:rPr>
                <w:rFonts w:ascii="Grotesque Light" w:eastAsia="Times New Roman" w:hAnsi="Grotesque Light" w:cs="Calibri"/>
                <w:color w:val="000000"/>
                <w:sz w:val="16"/>
                <w:szCs w:val="16"/>
                <w:lang w:eastAsia="es-MX"/>
              </w:rPr>
            </w:pPr>
            <w:r w:rsidRPr="001752E5">
              <w:rPr>
                <w:rFonts w:ascii="Grotesque Light" w:eastAsia="Times New Roman" w:hAnsi="Grotesque Light" w:cs="Calibri"/>
                <w:color w:val="000000"/>
                <w:sz w:val="16"/>
                <w:szCs w:val="16"/>
                <w:lang w:eastAsia="es-MX"/>
              </w:rPr>
              <w:t>3.09%</w:t>
            </w:r>
          </w:p>
        </w:tc>
        <w:tc>
          <w:tcPr>
            <w:tcW w:w="0" w:type="auto"/>
            <w:tcBorders>
              <w:top w:val="nil"/>
              <w:left w:val="nil"/>
              <w:bottom w:val="nil"/>
              <w:right w:val="nil"/>
            </w:tcBorders>
            <w:shd w:val="clear" w:color="auto" w:fill="auto"/>
            <w:noWrap/>
            <w:vAlign w:val="center"/>
            <w:hideMark/>
          </w:tcPr>
          <w:p w14:paraId="11CF3310" w14:textId="77777777" w:rsidR="00621ACC" w:rsidRPr="001752E5" w:rsidRDefault="00621ACC" w:rsidP="0010219F">
            <w:pPr>
              <w:spacing w:after="0" w:line="240" w:lineRule="auto"/>
              <w:jc w:val="center"/>
              <w:rPr>
                <w:rFonts w:ascii="Grotesque Light" w:eastAsia="Times New Roman" w:hAnsi="Grotesque Light" w:cs="Calibri"/>
                <w:color w:val="000000"/>
                <w:sz w:val="16"/>
                <w:szCs w:val="16"/>
                <w:lang w:eastAsia="es-MX"/>
              </w:rPr>
            </w:pPr>
            <w:r w:rsidRPr="001752E5">
              <w:rPr>
                <w:rFonts w:ascii="Grotesque Light" w:eastAsia="Times New Roman" w:hAnsi="Grotesque Light" w:cs="Calibri"/>
                <w:color w:val="000000"/>
                <w:sz w:val="16"/>
                <w:szCs w:val="16"/>
                <w:lang w:eastAsia="es-MX"/>
              </w:rPr>
              <w:t>3.70%</w:t>
            </w:r>
          </w:p>
        </w:tc>
        <w:tc>
          <w:tcPr>
            <w:tcW w:w="0" w:type="auto"/>
            <w:tcBorders>
              <w:top w:val="nil"/>
              <w:left w:val="nil"/>
              <w:bottom w:val="nil"/>
              <w:right w:val="nil"/>
            </w:tcBorders>
            <w:shd w:val="clear" w:color="auto" w:fill="auto"/>
            <w:noWrap/>
            <w:vAlign w:val="center"/>
            <w:hideMark/>
          </w:tcPr>
          <w:p w14:paraId="54E6A070" w14:textId="77777777" w:rsidR="00621ACC" w:rsidRPr="001752E5" w:rsidRDefault="00621ACC" w:rsidP="0010219F">
            <w:pPr>
              <w:spacing w:after="0" w:line="240" w:lineRule="auto"/>
              <w:jc w:val="center"/>
              <w:rPr>
                <w:rFonts w:ascii="Grotesque Light" w:eastAsia="Times New Roman" w:hAnsi="Grotesque Light" w:cs="Calibri"/>
                <w:color w:val="000000"/>
                <w:sz w:val="16"/>
                <w:szCs w:val="16"/>
                <w:lang w:eastAsia="es-MX"/>
              </w:rPr>
            </w:pPr>
            <w:r w:rsidRPr="001752E5">
              <w:rPr>
                <w:rFonts w:ascii="Grotesque Light" w:eastAsia="Times New Roman" w:hAnsi="Grotesque Light" w:cs="Calibri"/>
                <w:color w:val="000000"/>
                <w:sz w:val="16"/>
                <w:szCs w:val="16"/>
                <w:lang w:eastAsia="es-MX"/>
              </w:rPr>
              <w:t xml:space="preserve"> $             1,610.80 </w:t>
            </w:r>
          </w:p>
        </w:tc>
        <w:tc>
          <w:tcPr>
            <w:tcW w:w="0" w:type="auto"/>
            <w:tcBorders>
              <w:top w:val="nil"/>
              <w:left w:val="nil"/>
              <w:bottom w:val="nil"/>
              <w:right w:val="nil"/>
            </w:tcBorders>
            <w:shd w:val="clear" w:color="auto" w:fill="auto"/>
            <w:noWrap/>
            <w:vAlign w:val="center"/>
            <w:hideMark/>
          </w:tcPr>
          <w:p w14:paraId="2EA5C84C" w14:textId="77777777" w:rsidR="00621ACC" w:rsidRPr="001752E5" w:rsidRDefault="00621ACC" w:rsidP="0010219F">
            <w:pPr>
              <w:spacing w:after="0" w:line="240" w:lineRule="auto"/>
              <w:jc w:val="center"/>
              <w:rPr>
                <w:rFonts w:ascii="Grotesque Light" w:eastAsia="Times New Roman" w:hAnsi="Grotesque Light" w:cs="Calibri"/>
                <w:color w:val="000000"/>
                <w:sz w:val="16"/>
                <w:szCs w:val="16"/>
                <w:lang w:eastAsia="es-MX"/>
              </w:rPr>
            </w:pPr>
            <w:r w:rsidRPr="001752E5">
              <w:rPr>
                <w:rFonts w:ascii="Grotesque Light" w:eastAsia="Times New Roman" w:hAnsi="Grotesque Light" w:cs="Calibri"/>
                <w:color w:val="000000"/>
                <w:sz w:val="16"/>
                <w:szCs w:val="16"/>
                <w:lang w:eastAsia="es-MX"/>
              </w:rPr>
              <w:t>50,257,034,880</w:t>
            </w:r>
          </w:p>
        </w:tc>
      </w:tr>
      <w:tr w:rsidR="00621ACC" w:rsidRPr="001752E5" w14:paraId="79B7F932" w14:textId="77777777" w:rsidTr="0010219F">
        <w:trPr>
          <w:trHeight w:val="256"/>
        </w:trPr>
        <w:tc>
          <w:tcPr>
            <w:tcW w:w="0" w:type="auto"/>
            <w:tcBorders>
              <w:top w:val="nil"/>
              <w:left w:val="nil"/>
              <w:bottom w:val="single" w:sz="4" w:space="0" w:color="auto"/>
              <w:right w:val="nil"/>
            </w:tcBorders>
            <w:shd w:val="clear" w:color="auto" w:fill="auto"/>
            <w:noWrap/>
            <w:vAlign w:val="center"/>
            <w:hideMark/>
          </w:tcPr>
          <w:p w14:paraId="477ECD73" w14:textId="77777777" w:rsidR="00621ACC" w:rsidRPr="001752E5" w:rsidRDefault="00621ACC" w:rsidP="0010219F">
            <w:pPr>
              <w:spacing w:after="0" w:line="240" w:lineRule="auto"/>
              <w:rPr>
                <w:rFonts w:ascii="Grotesque Light" w:eastAsia="Times New Roman" w:hAnsi="Grotesque Light" w:cs="Calibri"/>
                <w:color w:val="000000"/>
                <w:sz w:val="16"/>
                <w:szCs w:val="16"/>
                <w:lang w:eastAsia="es-MX"/>
              </w:rPr>
            </w:pPr>
            <w:r w:rsidRPr="001752E5">
              <w:rPr>
                <w:rFonts w:ascii="Grotesque Light" w:eastAsia="Times New Roman" w:hAnsi="Grotesque Light" w:cs="Calibri"/>
                <w:color w:val="000000"/>
                <w:sz w:val="16"/>
                <w:szCs w:val="16"/>
                <w:lang w:eastAsia="es-MX"/>
              </w:rPr>
              <w:t xml:space="preserve">         46,185.50 </w:t>
            </w:r>
          </w:p>
        </w:tc>
        <w:tc>
          <w:tcPr>
            <w:tcW w:w="0" w:type="auto"/>
            <w:tcBorders>
              <w:top w:val="nil"/>
              <w:left w:val="nil"/>
              <w:bottom w:val="single" w:sz="4" w:space="0" w:color="auto"/>
              <w:right w:val="nil"/>
            </w:tcBorders>
            <w:shd w:val="clear" w:color="auto" w:fill="auto"/>
            <w:noWrap/>
            <w:vAlign w:val="center"/>
            <w:hideMark/>
          </w:tcPr>
          <w:p w14:paraId="669C9FD9" w14:textId="77777777" w:rsidR="00621ACC" w:rsidRPr="001752E5" w:rsidRDefault="00621ACC" w:rsidP="0010219F">
            <w:pPr>
              <w:spacing w:after="0" w:line="240" w:lineRule="auto"/>
              <w:jc w:val="center"/>
              <w:rPr>
                <w:rFonts w:ascii="Grotesque Light" w:eastAsia="Times New Roman" w:hAnsi="Grotesque Light" w:cs="Calibri"/>
                <w:color w:val="000000"/>
                <w:sz w:val="16"/>
                <w:szCs w:val="16"/>
                <w:lang w:eastAsia="es-MX"/>
              </w:rPr>
            </w:pPr>
            <w:r w:rsidRPr="001752E5">
              <w:rPr>
                <w:rFonts w:ascii="Grotesque Light" w:eastAsia="Times New Roman" w:hAnsi="Grotesque Light" w:cs="Calibri"/>
                <w:color w:val="000000"/>
                <w:sz w:val="16"/>
                <w:szCs w:val="16"/>
                <w:lang w:eastAsia="es-MX"/>
              </w:rPr>
              <w:t>6.09%</w:t>
            </w:r>
          </w:p>
        </w:tc>
        <w:tc>
          <w:tcPr>
            <w:tcW w:w="0" w:type="auto"/>
            <w:tcBorders>
              <w:top w:val="nil"/>
              <w:left w:val="nil"/>
              <w:bottom w:val="single" w:sz="4" w:space="0" w:color="auto"/>
              <w:right w:val="nil"/>
            </w:tcBorders>
            <w:shd w:val="clear" w:color="auto" w:fill="auto"/>
            <w:noWrap/>
            <w:vAlign w:val="center"/>
            <w:hideMark/>
          </w:tcPr>
          <w:p w14:paraId="21AD3754" w14:textId="77777777" w:rsidR="00621ACC" w:rsidRPr="001752E5" w:rsidRDefault="00621ACC" w:rsidP="0010219F">
            <w:pPr>
              <w:spacing w:after="0" w:line="240" w:lineRule="auto"/>
              <w:jc w:val="center"/>
              <w:rPr>
                <w:rFonts w:ascii="Grotesque Light" w:eastAsia="Times New Roman" w:hAnsi="Grotesque Light" w:cs="Calibri"/>
                <w:color w:val="000000"/>
                <w:sz w:val="16"/>
                <w:szCs w:val="16"/>
                <w:lang w:eastAsia="es-MX"/>
              </w:rPr>
            </w:pPr>
            <w:r w:rsidRPr="001752E5">
              <w:rPr>
                <w:rFonts w:ascii="Grotesque Light" w:eastAsia="Times New Roman" w:hAnsi="Grotesque Light" w:cs="Calibri"/>
                <w:color w:val="000000"/>
                <w:sz w:val="16"/>
                <w:szCs w:val="16"/>
                <w:lang w:eastAsia="es-MX"/>
              </w:rPr>
              <w:t>3.00%</w:t>
            </w:r>
          </w:p>
        </w:tc>
        <w:tc>
          <w:tcPr>
            <w:tcW w:w="0" w:type="auto"/>
            <w:tcBorders>
              <w:top w:val="nil"/>
              <w:left w:val="nil"/>
              <w:bottom w:val="single" w:sz="4" w:space="0" w:color="auto"/>
              <w:right w:val="nil"/>
            </w:tcBorders>
            <w:shd w:val="clear" w:color="auto" w:fill="auto"/>
            <w:noWrap/>
            <w:vAlign w:val="center"/>
            <w:hideMark/>
          </w:tcPr>
          <w:p w14:paraId="0D304FC9" w14:textId="77777777" w:rsidR="00621ACC" w:rsidRPr="001752E5" w:rsidRDefault="00621ACC" w:rsidP="0010219F">
            <w:pPr>
              <w:spacing w:after="0" w:line="240" w:lineRule="auto"/>
              <w:jc w:val="center"/>
              <w:rPr>
                <w:rFonts w:ascii="Grotesque Light" w:eastAsia="Times New Roman" w:hAnsi="Grotesque Light" w:cs="Calibri"/>
                <w:color w:val="000000"/>
                <w:sz w:val="16"/>
                <w:szCs w:val="16"/>
                <w:lang w:eastAsia="es-MX"/>
              </w:rPr>
            </w:pPr>
            <w:r w:rsidRPr="001752E5">
              <w:rPr>
                <w:rFonts w:ascii="Grotesque Light" w:eastAsia="Times New Roman" w:hAnsi="Grotesque Light" w:cs="Calibri"/>
                <w:color w:val="000000"/>
                <w:sz w:val="16"/>
                <w:szCs w:val="16"/>
                <w:lang w:eastAsia="es-MX"/>
              </w:rPr>
              <w:t>3.09%</w:t>
            </w:r>
          </w:p>
        </w:tc>
        <w:tc>
          <w:tcPr>
            <w:tcW w:w="0" w:type="auto"/>
            <w:tcBorders>
              <w:top w:val="nil"/>
              <w:left w:val="nil"/>
              <w:bottom w:val="single" w:sz="4" w:space="0" w:color="auto"/>
              <w:right w:val="nil"/>
            </w:tcBorders>
            <w:shd w:val="clear" w:color="auto" w:fill="auto"/>
            <w:noWrap/>
            <w:vAlign w:val="center"/>
            <w:hideMark/>
          </w:tcPr>
          <w:p w14:paraId="11718353" w14:textId="77777777" w:rsidR="00621ACC" w:rsidRPr="001752E5" w:rsidRDefault="00621ACC" w:rsidP="0010219F">
            <w:pPr>
              <w:spacing w:after="0" w:line="240" w:lineRule="auto"/>
              <w:jc w:val="center"/>
              <w:rPr>
                <w:rFonts w:ascii="Grotesque Light" w:eastAsia="Times New Roman" w:hAnsi="Grotesque Light" w:cs="Calibri"/>
                <w:color w:val="000000"/>
                <w:sz w:val="16"/>
                <w:szCs w:val="16"/>
                <w:lang w:eastAsia="es-MX"/>
              </w:rPr>
            </w:pPr>
            <w:r w:rsidRPr="001752E5">
              <w:rPr>
                <w:rFonts w:ascii="Grotesque Light" w:eastAsia="Times New Roman" w:hAnsi="Grotesque Light" w:cs="Calibri"/>
                <w:color w:val="000000"/>
                <w:sz w:val="16"/>
                <w:szCs w:val="16"/>
                <w:lang w:eastAsia="es-MX"/>
              </w:rPr>
              <w:t>3.70%</w:t>
            </w:r>
          </w:p>
        </w:tc>
        <w:tc>
          <w:tcPr>
            <w:tcW w:w="0" w:type="auto"/>
            <w:tcBorders>
              <w:top w:val="nil"/>
              <w:left w:val="nil"/>
              <w:bottom w:val="single" w:sz="4" w:space="0" w:color="auto"/>
              <w:right w:val="nil"/>
            </w:tcBorders>
            <w:shd w:val="clear" w:color="auto" w:fill="auto"/>
            <w:noWrap/>
            <w:vAlign w:val="center"/>
            <w:hideMark/>
          </w:tcPr>
          <w:p w14:paraId="4AC7CE8F" w14:textId="77777777" w:rsidR="00621ACC" w:rsidRPr="001752E5" w:rsidRDefault="00621ACC" w:rsidP="0010219F">
            <w:pPr>
              <w:spacing w:after="0" w:line="240" w:lineRule="auto"/>
              <w:jc w:val="center"/>
              <w:rPr>
                <w:rFonts w:ascii="Grotesque Light" w:eastAsia="Times New Roman" w:hAnsi="Grotesque Light" w:cs="Calibri"/>
                <w:color w:val="000000"/>
                <w:sz w:val="16"/>
                <w:szCs w:val="16"/>
                <w:lang w:eastAsia="es-MX"/>
              </w:rPr>
            </w:pPr>
            <w:r w:rsidRPr="001752E5">
              <w:rPr>
                <w:rFonts w:ascii="Grotesque Light" w:eastAsia="Times New Roman" w:hAnsi="Grotesque Light" w:cs="Calibri"/>
                <w:color w:val="000000"/>
                <w:sz w:val="16"/>
                <w:szCs w:val="16"/>
                <w:lang w:eastAsia="es-MX"/>
              </w:rPr>
              <w:t xml:space="preserve"> $            1,708.86 </w:t>
            </w:r>
          </w:p>
        </w:tc>
        <w:tc>
          <w:tcPr>
            <w:tcW w:w="0" w:type="auto"/>
            <w:tcBorders>
              <w:top w:val="nil"/>
              <w:left w:val="nil"/>
              <w:bottom w:val="single" w:sz="4" w:space="0" w:color="auto"/>
              <w:right w:val="nil"/>
            </w:tcBorders>
            <w:shd w:val="clear" w:color="auto" w:fill="auto"/>
            <w:noWrap/>
            <w:vAlign w:val="center"/>
            <w:hideMark/>
          </w:tcPr>
          <w:p w14:paraId="6E4C21C2" w14:textId="77777777" w:rsidR="00621ACC" w:rsidRPr="001752E5" w:rsidRDefault="00621ACC" w:rsidP="0010219F">
            <w:pPr>
              <w:spacing w:after="0" w:line="240" w:lineRule="auto"/>
              <w:jc w:val="center"/>
              <w:rPr>
                <w:rFonts w:ascii="Grotesque Light" w:eastAsia="Times New Roman" w:hAnsi="Grotesque Light" w:cs="Calibri"/>
                <w:color w:val="000000"/>
                <w:sz w:val="16"/>
                <w:szCs w:val="16"/>
                <w:lang w:eastAsia="es-MX"/>
              </w:rPr>
            </w:pPr>
            <w:r w:rsidRPr="001752E5">
              <w:rPr>
                <w:rFonts w:ascii="Grotesque Light" w:eastAsia="Times New Roman" w:hAnsi="Grotesque Light" w:cs="Calibri"/>
                <w:color w:val="000000"/>
                <w:sz w:val="16"/>
                <w:szCs w:val="16"/>
                <w:lang w:eastAsia="es-MX"/>
              </w:rPr>
              <w:t>52,512,745,650</w:t>
            </w:r>
          </w:p>
        </w:tc>
      </w:tr>
    </w:tbl>
    <w:p w14:paraId="21DFFEC2" w14:textId="77777777" w:rsidR="00621ACC" w:rsidRDefault="00621ACC" w:rsidP="00621ACC">
      <w:pPr>
        <w:rPr>
          <w:rFonts w:ascii="Grotesque Light" w:hAnsi="Grotesque Light"/>
        </w:rPr>
      </w:pPr>
    </w:p>
    <w:p w14:paraId="42BF483A" w14:textId="77777777" w:rsidR="00BD4F6A" w:rsidRPr="004F06F2" w:rsidRDefault="00BD4F6A" w:rsidP="00AB5EE6">
      <w:pPr>
        <w:spacing w:before="0" w:after="0"/>
        <w:rPr>
          <w:rFonts w:eastAsia="Calibri" w:cs="Times New Roman"/>
          <w:b/>
          <w:sz w:val="22"/>
          <w:szCs w:val="22"/>
        </w:rPr>
      </w:pPr>
      <w:r w:rsidRPr="004F06F2">
        <w:rPr>
          <w:rFonts w:eastAsia="Calibri" w:cs="Times New Roman"/>
          <w:b/>
          <w:sz w:val="22"/>
          <w:szCs w:val="22"/>
        </w:rPr>
        <w:tab/>
      </w:r>
      <w:r w:rsidRPr="004F06F2">
        <w:rPr>
          <w:rFonts w:eastAsia="Calibri" w:cs="Times New Roman"/>
          <w:b/>
          <w:sz w:val="22"/>
          <w:szCs w:val="22"/>
        </w:rPr>
        <w:tab/>
      </w:r>
      <w:r w:rsidRPr="004F06F2">
        <w:rPr>
          <w:rFonts w:eastAsia="Calibri" w:cs="Times New Roman"/>
          <w:b/>
          <w:sz w:val="22"/>
          <w:szCs w:val="22"/>
        </w:rPr>
        <w:tab/>
      </w:r>
      <w:r w:rsidRPr="004F06F2">
        <w:rPr>
          <w:rFonts w:eastAsia="Calibri" w:cs="Times New Roman"/>
          <w:b/>
          <w:sz w:val="22"/>
          <w:szCs w:val="22"/>
        </w:rPr>
        <w:tab/>
      </w:r>
      <w:r w:rsidRPr="004F06F2">
        <w:rPr>
          <w:rFonts w:eastAsia="Calibri" w:cs="Times New Roman"/>
          <w:b/>
          <w:sz w:val="22"/>
          <w:szCs w:val="22"/>
        </w:rPr>
        <w:tab/>
      </w:r>
      <w:r w:rsidRPr="004F06F2">
        <w:rPr>
          <w:rFonts w:eastAsia="Calibri" w:cs="Times New Roman"/>
          <w:b/>
          <w:sz w:val="22"/>
          <w:szCs w:val="22"/>
        </w:rPr>
        <w:tab/>
      </w:r>
      <w:r w:rsidRPr="004F06F2">
        <w:rPr>
          <w:rFonts w:eastAsia="Calibri" w:cs="Times New Roman"/>
          <w:b/>
          <w:sz w:val="22"/>
          <w:szCs w:val="22"/>
        </w:rPr>
        <w:tab/>
      </w:r>
    </w:p>
    <w:p w14:paraId="3F42BFCC" w14:textId="70F20085" w:rsidR="00BD4F6A" w:rsidRPr="004F06F2" w:rsidRDefault="00BD4F6A" w:rsidP="00AB5EE6">
      <w:pPr>
        <w:spacing w:before="0" w:after="0"/>
        <w:rPr>
          <w:rFonts w:eastAsia="Calibri" w:cs="Times New Roman"/>
          <w:b/>
          <w:sz w:val="22"/>
          <w:szCs w:val="22"/>
        </w:rPr>
      </w:pPr>
      <w:r w:rsidRPr="004F06F2">
        <w:rPr>
          <w:rFonts w:eastAsia="Calibri" w:cs="Times New Roman"/>
          <w:b/>
          <w:sz w:val="22"/>
          <w:szCs w:val="22"/>
        </w:rPr>
        <w:t>1</w:t>
      </w:r>
      <w:r w:rsidR="00702E64" w:rsidRPr="004F06F2">
        <w:rPr>
          <w:rFonts w:eastAsia="Calibri" w:cs="Times New Roman"/>
          <w:b/>
          <w:sz w:val="22"/>
          <w:szCs w:val="22"/>
        </w:rPr>
        <w:t>0</w:t>
      </w:r>
      <w:r w:rsidRPr="004F06F2">
        <w:rPr>
          <w:rFonts w:eastAsia="Calibri" w:cs="Times New Roman"/>
          <w:b/>
          <w:sz w:val="22"/>
          <w:szCs w:val="22"/>
        </w:rPr>
        <w:t>. Información sobre la Deuda y el Reporte analítico de la deuda.</w:t>
      </w:r>
    </w:p>
    <w:p w14:paraId="7EC4D012" w14:textId="77777777" w:rsidR="00BD4F6A" w:rsidRPr="004F06F2" w:rsidRDefault="00BD4F6A" w:rsidP="00AB5EE6">
      <w:pPr>
        <w:spacing w:before="0" w:after="0"/>
        <w:rPr>
          <w:rFonts w:eastAsia="Calibri" w:cs="Times New Roman"/>
          <w:b/>
          <w:sz w:val="22"/>
          <w:szCs w:val="22"/>
        </w:rPr>
      </w:pPr>
    </w:p>
    <w:p w14:paraId="5F6F3002" w14:textId="77777777" w:rsidR="00BD4F6A" w:rsidRPr="004F06F2" w:rsidRDefault="00BD4F6A" w:rsidP="00AB5EE6">
      <w:pPr>
        <w:spacing w:before="0" w:after="0"/>
        <w:rPr>
          <w:rFonts w:eastAsia="Calibri" w:cs="Times New Roman"/>
          <w:b/>
          <w:sz w:val="22"/>
          <w:szCs w:val="22"/>
        </w:rPr>
      </w:pPr>
      <w:r w:rsidRPr="004F06F2">
        <w:rPr>
          <w:rFonts w:eastAsia="Calibri" w:cs="Times New Roman"/>
          <w:b/>
          <w:sz w:val="22"/>
          <w:szCs w:val="22"/>
        </w:rPr>
        <w:t>a) Utilizar al menos los siguientes indicadores: deuda respecto al PIB y Deuda respecto a la recaudación tomando, como mínimo, un periodo igual o menor de 5 años.</w:t>
      </w:r>
    </w:p>
    <w:p w14:paraId="78CF92B9" w14:textId="77777777" w:rsidR="00312609" w:rsidRPr="004F06F2" w:rsidRDefault="00312609" w:rsidP="00AB5EE6">
      <w:pPr>
        <w:spacing w:before="0" w:after="0"/>
        <w:rPr>
          <w:rFonts w:eastAsia="Calibri" w:cs="Times New Roman"/>
          <w:bCs/>
          <w:sz w:val="22"/>
          <w:szCs w:val="22"/>
        </w:rPr>
      </w:pPr>
    </w:p>
    <w:p w14:paraId="3977B142" w14:textId="78BB8F63" w:rsidR="00BD4F6A" w:rsidRPr="004F06F2" w:rsidRDefault="00BD4F6A" w:rsidP="00AB5EE6">
      <w:pPr>
        <w:spacing w:before="0" w:after="0"/>
        <w:rPr>
          <w:rFonts w:eastAsia="Calibri" w:cs="Times New Roman"/>
          <w:bCs/>
          <w:sz w:val="22"/>
          <w:szCs w:val="22"/>
        </w:rPr>
      </w:pPr>
      <w:r w:rsidRPr="004F06F2">
        <w:rPr>
          <w:rFonts w:eastAsia="Calibri" w:cs="Times New Roman"/>
          <w:bCs/>
          <w:sz w:val="22"/>
          <w:szCs w:val="22"/>
        </w:rPr>
        <w:t xml:space="preserve">La deuda pública del Estado de Michoacán, al </w:t>
      </w:r>
      <w:r w:rsidR="00053575" w:rsidRPr="004F06F2">
        <w:rPr>
          <w:rFonts w:eastAsia="Calibri" w:cs="Times New Roman"/>
          <w:bCs/>
          <w:sz w:val="22"/>
          <w:szCs w:val="22"/>
        </w:rPr>
        <w:t xml:space="preserve">31 de </w:t>
      </w:r>
      <w:r w:rsidR="004753C4" w:rsidRPr="004F06F2">
        <w:rPr>
          <w:rFonts w:eastAsia="Calibri" w:cs="Times New Roman"/>
          <w:bCs/>
          <w:sz w:val="22"/>
          <w:szCs w:val="22"/>
        </w:rPr>
        <w:t>marzo</w:t>
      </w:r>
      <w:r w:rsidRPr="004F06F2">
        <w:rPr>
          <w:rFonts w:eastAsia="Calibri" w:cs="Times New Roman"/>
          <w:bCs/>
          <w:sz w:val="22"/>
          <w:szCs w:val="22"/>
        </w:rPr>
        <w:t xml:space="preserve"> de 202</w:t>
      </w:r>
      <w:r w:rsidR="004753C4" w:rsidRPr="004F06F2">
        <w:rPr>
          <w:rFonts w:eastAsia="Calibri" w:cs="Times New Roman"/>
          <w:bCs/>
          <w:sz w:val="22"/>
          <w:szCs w:val="22"/>
        </w:rPr>
        <w:t>4</w:t>
      </w:r>
      <w:r w:rsidRPr="004F06F2">
        <w:rPr>
          <w:rFonts w:eastAsia="Calibri" w:cs="Times New Roman"/>
          <w:bCs/>
          <w:sz w:val="22"/>
          <w:szCs w:val="22"/>
        </w:rPr>
        <w:t xml:space="preserve"> representa un </w:t>
      </w:r>
      <w:r w:rsidR="00806629" w:rsidRPr="004F06F2">
        <w:rPr>
          <w:rFonts w:eastAsia="Calibri" w:cs="Times New Roman"/>
          <w:bCs/>
          <w:sz w:val="22"/>
          <w:szCs w:val="22"/>
        </w:rPr>
        <w:t>3.</w:t>
      </w:r>
      <w:r w:rsidR="004753C4" w:rsidRPr="004F06F2">
        <w:rPr>
          <w:rFonts w:eastAsia="Calibri" w:cs="Times New Roman"/>
          <w:bCs/>
          <w:sz w:val="22"/>
          <w:szCs w:val="22"/>
        </w:rPr>
        <w:t>26</w:t>
      </w:r>
      <w:r w:rsidRPr="004F06F2">
        <w:rPr>
          <w:rFonts w:eastAsia="Calibri" w:cs="Times New Roman"/>
          <w:bCs/>
          <w:sz w:val="22"/>
          <w:szCs w:val="22"/>
        </w:rPr>
        <w:t>% del total de PIB estimado para es</w:t>
      </w:r>
      <w:r w:rsidR="003E2C2C" w:rsidRPr="004F06F2">
        <w:rPr>
          <w:rFonts w:eastAsia="Calibri" w:cs="Times New Roman"/>
          <w:bCs/>
          <w:sz w:val="22"/>
          <w:szCs w:val="22"/>
        </w:rPr>
        <w:t xml:space="preserve">ta entidad federativa, lo que </w:t>
      </w:r>
      <w:r w:rsidRPr="004F06F2">
        <w:rPr>
          <w:rFonts w:eastAsia="Calibri" w:cs="Times New Roman"/>
          <w:bCs/>
          <w:sz w:val="22"/>
          <w:szCs w:val="22"/>
        </w:rPr>
        <w:t xml:space="preserve">muestra una disminución gradual que se ha venido observando desde el ejercicio fiscal 2016, </w:t>
      </w:r>
      <w:r w:rsidR="00C71ACF" w:rsidRPr="004F06F2">
        <w:rPr>
          <w:rFonts w:eastAsia="Calibri" w:cs="Times New Roman"/>
          <w:bCs/>
          <w:sz w:val="22"/>
          <w:szCs w:val="22"/>
        </w:rPr>
        <w:t xml:space="preserve">con un ligero repunte en </w:t>
      </w:r>
      <w:r w:rsidR="00875AEC" w:rsidRPr="004F06F2">
        <w:rPr>
          <w:rFonts w:eastAsia="Calibri" w:cs="Times New Roman"/>
          <w:bCs/>
          <w:sz w:val="22"/>
          <w:szCs w:val="22"/>
        </w:rPr>
        <w:t>los primer trimestre</w:t>
      </w:r>
      <w:r w:rsidR="00C71ACF" w:rsidRPr="004F06F2">
        <w:rPr>
          <w:rFonts w:eastAsia="Calibri" w:cs="Times New Roman"/>
          <w:bCs/>
          <w:sz w:val="22"/>
          <w:szCs w:val="22"/>
        </w:rPr>
        <w:t xml:space="preserve"> de 202</w:t>
      </w:r>
      <w:r w:rsidR="004753C4" w:rsidRPr="004F06F2">
        <w:rPr>
          <w:rFonts w:eastAsia="Calibri" w:cs="Times New Roman"/>
          <w:bCs/>
          <w:sz w:val="22"/>
          <w:szCs w:val="22"/>
        </w:rPr>
        <w:t>4</w:t>
      </w:r>
      <w:r w:rsidR="00C52694" w:rsidRPr="004F06F2">
        <w:rPr>
          <w:rFonts w:eastAsia="Calibri" w:cs="Times New Roman"/>
          <w:bCs/>
          <w:sz w:val="22"/>
          <w:szCs w:val="22"/>
        </w:rPr>
        <w:t>, debido principalmente a la reestructuración de la deuda</w:t>
      </w:r>
      <w:r w:rsidR="00C71ACF" w:rsidRPr="004F06F2">
        <w:rPr>
          <w:rFonts w:eastAsia="Calibri" w:cs="Times New Roman"/>
          <w:bCs/>
          <w:sz w:val="22"/>
          <w:szCs w:val="22"/>
        </w:rPr>
        <w:t xml:space="preserve">, </w:t>
      </w:r>
      <w:r w:rsidR="00E85501" w:rsidRPr="004F06F2">
        <w:rPr>
          <w:rFonts w:eastAsia="Calibri" w:cs="Times New Roman"/>
          <w:bCs/>
          <w:sz w:val="22"/>
          <w:szCs w:val="22"/>
        </w:rPr>
        <w:t>manteniendo</w:t>
      </w:r>
      <w:r w:rsidR="00C71ACF" w:rsidRPr="004F06F2">
        <w:rPr>
          <w:rFonts w:eastAsia="Calibri" w:cs="Times New Roman"/>
          <w:bCs/>
          <w:sz w:val="22"/>
          <w:szCs w:val="22"/>
        </w:rPr>
        <w:t xml:space="preserve"> los parámetros aceptables por la Ley de Disciplina Financiera de las Entidades y los Municipios, </w:t>
      </w:r>
      <w:r w:rsidRPr="004F06F2">
        <w:rPr>
          <w:rFonts w:eastAsia="Calibri" w:cs="Times New Roman"/>
          <w:bCs/>
          <w:sz w:val="22"/>
          <w:szCs w:val="22"/>
        </w:rPr>
        <w:t>como se muestra en las gráficas siguientes:</w:t>
      </w:r>
    </w:p>
    <w:p w14:paraId="33763373" w14:textId="77777777" w:rsidR="00AB5EE6" w:rsidRPr="004F06F2" w:rsidRDefault="00AB5EE6" w:rsidP="00AB5EE6">
      <w:pPr>
        <w:spacing w:before="0" w:after="0"/>
        <w:rPr>
          <w:rFonts w:eastAsia="Calibri" w:cs="Times New Roman"/>
          <w:bCs/>
          <w:sz w:val="22"/>
          <w:szCs w:val="22"/>
        </w:rPr>
      </w:pPr>
    </w:p>
    <w:p w14:paraId="41DC0D5B" w14:textId="6270344C" w:rsidR="002A453D" w:rsidRPr="004F06F2" w:rsidRDefault="002A453D" w:rsidP="00BD4F6A">
      <w:pPr>
        <w:spacing w:before="0" w:after="0"/>
        <w:rPr>
          <w:rFonts w:eastAsia="Calibri" w:cs="Times New Roman"/>
          <w:bCs/>
          <w:sz w:val="22"/>
          <w:szCs w:val="22"/>
        </w:rPr>
      </w:pPr>
    </w:p>
    <w:p w14:paraId="3FD81083" w14:textId="4901A562" w:rsidR="00BD4F6A" w:rsidRPr="004F06F2" w:rsidRDefault="008D66E0" w:rsidP="008D66E0">
      <w:pPr>
        <w:spacing w:before="0" w:after="0"/>
        <w:jc w:val="center"/>
        <w:rPr>
          <w:rFonts w:eastAsia="Calibri" w:cs="Times New Roman"/>
          <w:b/>
          <w:sz w:val="22"/>
          <w:szCs w:val="22"/>
        </w:rPr>
      </w:pPr>
      <w:bookmarkStart w:id="5" w:name="_Hlk133586266"/>
      <w:r w:rsidRPr="004F06F2">
        <w:rPr>
          <w:noProof/>
          <w:lang w:val="es-MX" w:eastAsia="es-MX"/>
        </w:rPr>
        <w:lastRenderedPageBreak/>
        <w:drawing>
          <wp:inline distT="0" distB="0" distL="0" distR="0" wp14:anchorId="41538583" wp14:editId="0C29F679">
            <wp:extent cx="6053841" cy="1319917"/>
            <wp:effectExtent l="0" t="0" r="4445" b="0"/>
            <wp:docPr id="993237361" name="Imagen 993237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20">
                      <a:extLst>
                        <a:ext uri="{28A0092B-C50C-407E-A947-70E740481C1C}">
                          <a14:useLocalDpi xmlns:a14="http://schemas.microsoft.com/office/drawing/2010/main" val="0"/>
                        </a:ext>
                      </a:extLst>
                    </a:blip>
                    <a:srcRect b="15124"/>
                    <a:stretch/>
                  </pic:blipFill>
                  <pic:spPr bwMode="auto">
                    <a:xfrm>
                      <a:off x="0" y="0"/>
                      <a:ext cx="6133808" cy="1337352"/>
                    </a:xfrm>
                    <a:prstGeom prst="rect">
                      <a:avLst/>
                    </a:prstGeom>
                    <a:noFill/>
                    <a:ln>
                      <a:noFill/>
                    </a:ln>
                    <a:extLst>
                      <a:ext uri="{53640926-AAD7-44D8-BBD7-CCE9431645EC}">
                        <a14:shadowObscured xmlns:a14="http://schemas.microsoft.com/office/drawing/2010/main"/>
                      </a:ext>
                    </a:extLst>
                  </pic:spPr>
                </pic:pic>
              </a:graphicData>
            </a:graphic>
          </wp:inline>
        </w:drawing>
      </w:r>
    </w:p>
    <w:p w14:paraId="245DE534" w14:textId="74D175F9" w:rsidR="00C24CC7" w:rsidRPr="004F06F2" w:rsidRDefault="008D66E0" w:rsidP="008D66E0">
      <w:pPr>
        <w:spacing w:before="0" w:after="0"/>
        <w:jc w:val="center"/>
        <w:rPr>
          <w:rFonts w:eastAsia="Calibri" w:cs="Times New Roman"/>
          <w:b/>
          <w:sz w:val="22"/>
          <w:szCs w:val="22"/>
        </w:rPr>
      </w:pPr>
      <w:r w:rsidRPr="004F06F2">
        <w:rPr>
          <w:rFonts w:eastAsia="Calibri" w:cs="Times New Roman"/>
          <w:b/>
          <w:noProof/>
          <w:sz w:val="22"/>
          <w:szCs w:val="22"/>
          <w:lang w:val="es-MX" w:eastAsia="es-MX"/>
        </w:rPr>
        <w:drawing>
          <wp:inline distT="0" distB="0" distL="0" distR="0" wp14:anchorId="6AA75FDE" wp14:editId="52D14A30">
            <wp:extent cx="4818285" cy="2487880"/>
            <wp:effectExtent l="0" t="0" r="1905" b="8255"/>
            <wp:docPr id="993237362" name="Imagen 993237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63919" cy="2511443"/>
                    </a:xfrm>
                    <a:prstGeom prst="rect">
                      <a:avLst/>
                    </a:prstGeom>
                    <a:noFill/>
                  </pic:spPr>
                </pic:pic>
              </a:graphicData>
            </a:graphic>
          </wp:inline>
        </w:drawing>
      </w:r>
    </w:p>
    <w:p w14:paraId="5EFE3BC4" w14:textId="1987B074" w:rsidR="00BD4F6A" w:rsidRPr="004F06F2" w:rsidRDefault="00BD4F6A" w:rsidP="00F55C30">
      <w:pPr>
        <w:tabs>
          <w:tab w:val="left" w:pos="2835"/>
        </w:tabs>
        <w:spacing w:before="0" w:after="0"/>
        <w:rPr>
          <w:rFonts w:eastAsia="Calibri" w:cs="Times New Roman"/>
          <w:b/>
          <w:sz w:val="22"/>
          <w:szCs w:val="22"/>
        </w:rPr>
      </w:pPr>
      <w:r w:rsidRPr="004F06F2">
        <w:rPr>
          <w:rFonts w:eastAsia="Calibri" w:cs="Times New Roman"/>
          <w:b/>
          <w:sz w:val="22"/>
          <w:szCs w:val="22"/>
        </w:rPr>
        <w:t xml:space="preserve"> </w:t>
      </w:r>
    </w:p>
    <w:p w14:paraId="5A47C7A9" w14:textId="182B8D64" w:rsidR="00BD4F6A" w:rsidRPr="004F06F2" w:rsidRDefault="00BD4F6A" w:rsidP="00BD4F6A">
      <w:pPr>
        <w:spacing w:before="0" w:after="0"/>
        <w:rPr>
          <w:rFonts w:eastAsia="Calibri" w:cs="Times New Roman"/>
          <w:b/>
          <w:sz w:val="22"/>
          <w:szCs w:val="22"/>
        </w:rPr>
      </w:pPr>
    </w:p>
    <w:p w14:paraId="0EC38919" w14:textId="2E5BA8A5" w:rsidR="00BD4F6A" w:rsidRPr="004F06F2" w:rsidRDefault="00BD4F6A" w:rsidP="00AB5EE6">
      <w:pPr>
        <w:spacing w:before="0" w:after="0"/>
        <w:rPr>
          <w:rFonts w:eastAsia="Calibri" w:cs="Times New Roman"/>
          <w:bCs/>
          <w:sz w:val="22"/>
          <w:szCs w:val="22"/>
        </w:rPr>
      </w:pPr>
      <w:r w:rsidRPr="004F06F2">
        <w:rPr>
          <w:rFonts w:eastAsia="Calibri" w:cs="Times New Roman"/>
          <w:bCs/>
          <w:sz w:val="22"/>
          <w:szCs w:val="22"/>
        </w:rPr>
        <w:t xml:space="preserve">En el mismo sentido, el saldo de la Deuda </w:t>
      </w:r>
      <w:r w:rsidR="00901369">
        <w:rPr>
          <w:rFonts w:eastAsia="Calibri" w:cs="Times New Roman"/>
          <w:bCs/>
          <w:sz w:val="22"/>
          <w:szCs w:val="22"/>
        </w:rPr>
        <w:t>P</w:t>
      </w:r>
      <w:r w:rsidRPr="004F06F2">
        <w:rPr>
          <w:rFonts w:eastAsia="Calibri" w:cs="Times New Roman"/>
          <w:bCs/>
          <w:sz w:val="22"/>
          <w:szCs w:val="22"/>
        </w:rPr>
        <w:t xml:space="preserve">ública, ya mencionado, respecto a la recaudación de ingresos de libre disposición, representa un </w:t>
      </w:r>
      <w:r w:rsidR="00875AEC" w:rsidRPr="004F06F2">
        <w:rPr>
          <w:rFonts w:eastAsia="Calibri" w:cs="Times New Roman"/>
          <w:bCs/>
          <w:sz w:val="22"/>
          <w:szCs w:val="22"/>
        </w:rPr>
        <w:t>4</w:t>
      </w:r>
      <w:r w:rsidR="004753C4" w:rsidRPr="004F06F2">
        <w:rPr>
          <w:rFonts w:eastAsia="Calibri" w:cs="Times New Roman"/>
          <w:bCs/>
          <w:sz w:val="22"/>
          <w:szCs w:val="22"/>
        </w:rPr>
        <w:t>5.02</w:t>
      </w:r>
      <w:r w:rsidRPr="004F06F2">
        <w:rPr>
          <w:rFonts w:eastAsia="Calibri" w:cs="Times New Roman"/>
          <w:bCs/>
          <w:sz w:val="22"/>
          <w:szCs w:val="22"/>
        </w:rPr>
        <w:t>%, el cual se encuentra dentro de los parámetros establecidos por la Ley de Disciplina Financiera.</w:t>
      </w:r>
    </w:p>
    <w:p w14:paraId="7E6F2A5E" w14:textId="77777777" w:rsidR="00BD4F6A" w:rsidRPr="004F06F2" w:rsidRDefault="00BD4F6A" w:rsidP="00AB5EE6">
      <w:pPr>
        <w:spacing w:before="0" w:after="0"/>
        <w:rPr>
          <w:rFonts w:eastAsia="Calibri" w:cs="Times New Roman"/>
          <w:bCs/>
          <w:sz w:val="22"/>
          <w:szCs w:val="22"/>
        </w:rPr>
      </w:pPr>
    </w:p>
    <w:p w14:paraId="09B95163" w14:textId="66278EAF" w:rsidR="00BD4F6A" w:rsidRPr="004F06F2" w:rsidRDefault="00BD4F6A" w:rsidP="00AB5EE6">
      <w:pPr>
        <w:spacing w:before="0" w:after="0"/>
        <w:rPr>
          <w:rFonts w:eastAsia="Calibri" w:cs="Times New Roman"/>
          <w:bCs/>
          <w:sz w:val="22"/>
          <w:szCs w:val="22"/>
        </w:rPr>
      </w:pPr>
      <w:r w:rsidRPr="004F06F2">
        <w:rPr>
          <w:rFonts w:eastAsia="Calibri" w:cs="Times New Roman"/>
          <w:bCs/>
          <w:sz w:val="22"/>
          <w:szCs w:val="22"/>
        </w:rPr>
        <w:t xml:space="preserve">Es de destacar que también en este indicador, podemos observar una tendencia a la baja, </w:t>
      </w:r>
      <w:r w:rsidR="002A453D" w:rsidRPr="004F06F2">
        <w:rPr>
          <w:rFonts w:eastAsia="Calibri" w:cs="Times New Roman"/>
          <w:bCs/>
          <w:sz w:val="22"/>
          <w:szCs w:val="22"/>
        </w:rPr>
        <w:t>desde el ejercicio fiscal 2016</w:t>
      </w:r>
      <w:r w:rsidR="00C71ACF" w:rsidRPr="004F06F2">
        <w:rPr>
          <w:rFonts w:eastAsia="Calibri" w:cs="Times New Roman"/>
          <w:bCs/>
          <w:sz w:val="22"/>
          <w:szCs w:val="22"/>
        </w:rPr>
        <w:t xml:space="preserve">, </w:t>
      </w:r>
      <w:r w:rsidRPr="004F06F2">
        <w:rPr>
          <w:rFonts w:eastAsia="Calibri" w:cs="Times New Roman"/>
          <w:bCs/>
          <w:sz w:val="22"/>
          <w:szCs w:val="22"/>
        </w:rPr>
        <w:t>como se muestra en las gráficas siguientes:</w:t>
      </w:r>
    </w:p>
    <w:p w14:paraId="655B417D" w14:textId="77777777" w:rsidR="002A453D" w:rsidRPr="004F06F2" w:rsidRDefault="002A453D" w:rsidP="00BD4F6A">
      <w:pPr>
        <w:spacing w:before="0" w:after="0"/>
        <w:rPr>
          <w:rFonts w:eastAsia="Calibri" w:cs="Times New Roman"/>
          <w:bCs/>
          <w:sz w:val="22"/>
          <w:szCs w:val="22"/>
        </w:rPr>
      </w:pPr>
    </w:p>
    <w:p w14:paraId="2573F28C" w14:textId="73706213" w:rsidR="00BD4F6A" w:rsidRPr="004F06F2" w:rsidRDefault="00BD4F6A" w:rsidP="00BD4F6A">
      <w:pPr>
        <w:spacing w:before="0" w:after="0"/>
        <w:rPr>
          <w:rFonts w:eastAsia="Calibri" w:cs="Times New Roman"/>
          <w:b/>
          <w:sz w:val="22"/>
          <w:szCs w:val="22"/>
        </w:rPr>
      </w:pPr>
    </w:p>
    <w:p w14:paraId="6F24DC5B" w14:textId="6F45CFDB" w:rsidR="00C24CC7" w:rsidRPr="004F06F2" w:rsidRDefault="00C24CC7" w:rsidP="00BD4F6A">
      <w:pPr>
        <w:spacing w:before="0" w:after="0"/>
        <w:rPr>
          <w:rFonts w:eastAsia="Calibri" w:cs="Times New Roman"/>
          <w:b/>
          <w:sz w:val="22"/>
          <w:szCs w:val="22"/>
        </w:rPr>
      </w:pPr>
    </w:p>
    <w:p w14:paraId="742674CF" w14:textId="254FB483" w:rsidR="00C24CC7" w:rsidRPr="004F06F2" w:rsidRDefault="008D66E0" w:rsidP="008D66E0">
      <w:pPr>
        <w:spacing w:before="0" w:after="0"/>
        <w:jc w:val="center"/>
        <w:rPr>
          <w:rFonts w:eastAsia="Calibri" w:cs="Times New Roman"/>
          <w:b/>
          <w:sz w:val="22"/>
          <w:szCs w:val="22"/>
        </w:rPr>
      </w:pPr>
      <w:r w:rsidRPr="004F06F2">
        <w:rPr>
          <w:noProof/>
          <w:lang w:val="es-MX" w:eastAsia="es-MX"/>
        </w:rPr>
        <w:drawing>
          <wp:inline distT="0" distB="0" distL="0" distR="0" wp14:anchorId="1205D67A" wp14:editId="1ABB5848">
            <wp:extent cx="5720086" cy="1105231"/>
            <wp:effectExtent l="0" t="0" r="0" b="0"/>
            <wp:docPr id="993237363" name="Imagen 993237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22">
                      <a:extLst>
                        <a:ext uri="{28A0092B-C50C-407E-A947-70E740481C1C}">
                          <a14:useLocalDpi xmlns:a14="http://schemas.microsoft.com/office/drawing/2010/main" val="0"/>
                        </a:ext>
                      </a:extLst>
                    </a:blip>
                    <a:srcRect b="22747"/>
                    <a:stretch/>
                  </pic:blipFill>
                  <pic:spPr bwMode="auto">
                    <a:xfrm>
                      <a:off x="0" y="0"/>
                      <a:ext cx="5755246" cy="1112025"/>
                    </a:xfrm>
                    <a:prstGeom prst="rect">
                      <a:avLst/>
                    </a:prstGeom>
                    <a:noFill/>
                    <a:ln>
                      <a:noFill/>
                    </a:ln>
                    <a:extLst>
                      <a:ext uri="{53640926-AAD7-44D8-BBD7-CCE9431645EC}">
                        <a14:shadowObscured xmlns:a14="http://schemas.microsoft.com/office/drawing/2010/main"/>
                      </a:ext>
                    </a:extLst>
                  </pic:spPr>
                </pic:pic>
              </a:graphicData>
            </a:graphic>
          </wp:inline>
        </w:drawing>
      </w:r>
    </w:p>
    <w:p w14:paraId="025C1CD1" w14:textId="65100940" w:rsidR="00C24CC7" w:rsidRPr="004F06F2" w:rsidRDefault="00C24CC7" w:rsidP="00BD4F6A">
      <w:pPr>
        <w:spacing w:before="0" w:after="0"/>
        <w:rPr>
          <w:rFonts w:eastAsia="Calibri" w:cs="Times New Roman"/>
          <w:b/>
          <w:sz w:val="22"/>
          <w:szCs w:val="22"/>
        </w:rPr>
      </w:pPr>
    </w:p>
    <w:p w14:paraId="6C2CA572" w14:textId="14F2FD23" w:rsidR="00BD4F6A" w:rsidRPr="004F06F2" w:rsidRDefault="008D66E0" w:rsidP="008D66E0">
      <w:pPr>
        <w:spacing w:before="0" w:after="0"/>
        <w:jc w:val="center"/>
        <w:rPr>
          <w:rFonts w:eastAsia="Calibri" w:cs="Times New Roman"/>
          <w:b/>
          <w:sz w:val="22"/>
          <w:szCs w:val="22"/>
        </w:rPr>
      </w:pPr>
      <w:r w:rsidRPr="004F06F2">
        <w:rPr>
          <w:rFonts w:eastAsia="Calibri" w:cs="Times New Roman"/>
          <w:b/>
          <w:noProof/>
          <w:sz w:val="22"/>
          <w:szCs w:val="22"/>
          <w:lang w:val="es-MX" w:eastAsia="es-MX"/>
        </w:rPr>
        <w:drawing>
          <wp:inline distT="0" distB="0" distL="0" distR="0" wp14:anchorId="2EDC6154" wp14:editId="7F4D53A6">
            <wp:extent cx="4726379" cy="2822078"/>
            <wp:effectExtent l="0" t="0" r="0" b="0"/>
            <wp:docPr id="993237364" name="Imagen 993237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55294" cy="2839343"/>
                    </a:xfrm>
                    <a:prstGeom prst="rect">
                      <a:avLst/>
                    </a:prstGeom>
                    <a:noFill/>
                  </pic:spPr>
                </pic:pic>
              </a:graphicData>
            </a:graphic>
          </wp:inline>
        </w:drawing>
      </w:r>
    </w:p>
    <w:p w14:paraId="07D3F649" w14:textId="3835615C" w:rsidR="00BD4F6A" w:rsidRPr="004F06F2" w:rsidRDefault="00BD4F6A" w:rsidP="00BD4F6A">
      <w:pPr>
        <w:spacing w:before="0" w:after="0"/>
        <w:jc w:val="center"/>
        <w:rPr>
          <w:rFonts w:eastAsia="Calibri" w:cs="Times New Roman"/>
          <w:b/>
          <w:sz w:val="22"/>
          <w:szCs w:val="22"/>
        </w:rPr>
      </w:pPr>
    </w:p>
    <w:bookmarkEnd w:id="5"/>
    <w:p w14:paraId="221F18A3" w14:textId="2D333161" w:rsidR="00BD4F6A" w:rsidRPr="004F06F2" w:rsidRDefault="00BD4F6A" w:rsidP="00AB5EE6">
      <w:pPr>
        <w:spacing w:before="0" w:after="0"/>
        <w:rPr>
          <w:rFonts w:eastAsia="Calibri" w:cs="Times New Roman"/>
          <w:b/>
          <w:sz w:val="22"/>
          <w:szCs w:val="22"/>
        </w:rPr>
      </w:pPr>
      <w:r w:rsidRPr="004F06F2">
        <w:rPr>
          <w:rFonts w:eastAsia="Calibri" w:cs="Times New Roman"/>
          <w:b/>
          <w:sz w:val="22"/>
          <w:szCs w:val="22"/>
        </w:rPr>
        <w:t>1</w:t>
      </w:r>
      <w:r w:rsidR="00C85D46" w:rsidRPr="004F06F2">
        <w:rPr>
          <w:rFonts w:eastAsia="Calibri" w:cs="Times New Roman"/>
          <w:b/>
          <w:sz w:val="22"/>
          <w:szCs w:val="22"/>
        </w:rPr>
        <w:t>1</w:t>
      </w:r>
      <w:r w:rsidRPr="004F06F2">
        <w:rPr>
          <w:rFonts w:eastAsia="Calibri" w:cs="Times New Roman"/>
          <w:b/>
          <w:sz w:val="22"/>
          <w:szCs w:val="22"/>
        </w:rPr>
        <w:t>. Calificaciones otorgadas</w:t>
      </w:r>
    </w:p>
    <w:p w14:paraId="1E00EA60" w14:textId="50C5F1C6" w:rsidR="00BD4F6A" w:rsidRPr="004F06F2" w:rsidRDefault="00D16045" w:rsidP="00AB5EE6">
      <w:pPr>
        <w:spacing w:before="0" w:after="0"/>
        <w:rPr>
          <w:rFonts w:eastAsia="Calibri" w:cs="Times New Roman"/>
          <w:b/>
          <w:sz w:val="22"/>
          <w:szCs w:val="22"/>
        </w:rPr>
      </w:pPr>
      <w:r w:rsidRPr="004F06F2">
        <w:rPr>
          <w:rFonts w:eastAsia="Calibri" w:cs="Times New Roman"/>
          <w:b/>
          <w:sz w:val="22"/>
          <w:szCs w:val="22"/>
        </w:rPr>
        <w:t>FITCH RATINGS</w:t>
      </w:r>
      <w:r w:rsidR="00BD4F6A" w:rsidRPr="004F06F2">
        <w:rPr>
          <w:rFonts w:eastAsia="Calibri" w:cs="Times New Roman"/>
          <w:b/>
          <w:sz w:val="22"/>
          <w:szCs w:val="22"/>
        </w:rPr>
        <w:t>.</w:t>
      </w:r>
    </w:p>
    <w:p w14:paraId="242C3174" w14:textId="192CBC32" w:rsidR="00BD4F6A" w:rsidRPr="004F06F2" w:rsidRDefault="00D16045" w:rsidP="00AB5EE6">
      <w:pPr>
        <w:spacing w:before="0" w:after="0"/>
        <w:rPr>
          <w:rFonts w:eastAsia="Calibri" w:cs="Times New Roman"/>
          <w:bCs/>
          <w:sz w:val="22"/>
          <w:szCs w:val="22"/>
        </w:rPr>
      </w:pPr>
      <w:r w:rsidRPr="004F06F2">
        <w:rPr>
          <w:rFonts w:eastAsia="Calibri" w:cs="Times New Roman"/>
          <w:bCs/>
          <w:sz w:val="22"/>
          <w:szCs w:val="22"/>
        </w:rPr>
        <w:t xml:space="preserve">La calificadora Fitch Ratings, </w:t>
      </w:r>
      <w:r w:rsidR="00E62353" w:rsidRPr="004F06F2">
        <w:rPr>
          <w:rFonts w:eastAsia="Calibri" w:cs="Times New Roman"/>
          <w:bCs/>
          <w:sz w:val="22"/>
          <w:szCs w:val="22"/>
        </w:rPr>
        <w:t>para siete créditos contratados a un plazo de 20 años, con periodicidad de pago mensual</w:t>
      </w:r>
      <w:r w:rsidRPr="004F06F2">
        <w:rPr>
          <w:rFonts w:eastAsia="Calibri" w:cs="Times New Roman"/>
          <w:bCs/>
          <w:sz w:val="22"/>
          <w:szCs w:val="22"/>
        </w:rPr>
        <w:t xml:space="preserve">, otorgó una calificación de </w:t>
      </w:r>
      <w:r w:rsidR="00E62353" w:rsidRPr="004F06F2">
        <w:rPr>
          <w:rFonts w:eastAsia="Calibri" w:cs="Times New Roman"/>
          <w:bCs/>
          <w:sz w:val="22"/>
          <w:szCs w:val="22"/>
        </w:rPr>
        <w:t>AA-(</w:t>
      </w:r>
      <w:proofErr w:type="spellStart"/>
      <w:r w:rsidR="00E62353" w:rsidRPr="004F06F2">
        <w:rPr>
          <w:rFonts w:eastAsia="Calibri" w:cs="Times New Roman"/>
          <w:bCs/>
          <w:sz w:val="22"/>
          <w:szCs w:val="22"/>
        </w:rPr>
        <w:t>mex</w:t>
      </w:r>
      <w:proofErr w:type="spellEnd"/>
      <w:r w:rsidR="00E62353" w:rsidRPr="004F06F2">
        <w:rPr>
          <w:rFonts w:eastAsia="Calibri" w:cs="Times New Roman"/>
          <w:bCs/>
          <w:sz w:val="22"/>
          <w:szCs w:val="22"/>
        </w:rPr>
        <w:t>)</w:t>
      </w:r>
      <w:proofErr w:type="spellStart"/>
      <w:r w:rsidR="00E62353" w:rsidRPr="004F06F2">
        <w:rPr>
          <w:rFonts w:eastAsia="Calibri" w:cs="Times New Roman"/>
          <w:bCs/>
          <w:sz w:val="22"/>
          <w:szCs w:val="22"/>
        </w:rPr>
        <w:t>vra</w:t>
      </w:r>
      <w:proofErr w:type="spellEnd"/>
      <w:r w:rsidRPr="004F06F2">
        <w:rPr>
          <w:rFonts w:eastAsia="Calibri" w:cs="Times New Roman"/>
          <w:bCs/>
          <w:sz w:val="22"/>
          <w:szCs w:val="22"/>
        </w:rPr>
        <w:t xml:space="preserve">, </w:t>
      </w:r>
      <w:r w:rsidR="00E62353" w:rsidRPr="004F06F2">
        <w:rPr>
          <w:rFonts w:eastAsia="Calibri" w:cs="Times New Roman"/>
          <w:bCs/>
          <w:sz w:val="22"/>
          <w:szCs w:val="22"/>
        </w:rPr>
        <w:t>el 23 de abril de 2023, considerando que el desempeño de los activos es “Más fuerte”, el activo fideicomitido es sólido y presenta un comportamiento adecuado. El Riesgo de la tasa de interés se considera en “Rango Medio”, mientras que el Fondo de Reserva se considera “Más fuer</w:t>
      </w:r>
      <w:r w:rsidR="00565FF7" w:rsidRPr="004F06F2">
        <w:rPr>
          <w:rFonts w:eastAsia="Calibri" w:cs="Times New Roman"/>
          <w:bCs/>
          <w:sz w:val="22"/>
          <w:szCs w:val="22"/>
        </w:rPr>
        <w:t>te”, al igual de l</w:t>
      </w:r>
      <w:r w:rsidR="00E62353" w:rsidRPr="004F06F2">
        <w:rPr>
          <w:rFonts w:eastAsia="Calibri" w:cs="Times New Roman"/>
          <w:bCs/>
          <w:sz w:val="22"/>
          <w:szCs w:val="22"/>
        </w:rPr>
        <w:t xml:space="preserve">a cobertura de deuda. </w:t>
      </w:r>
    </w:p>
    <w:p w14:paraId="3E952B96" w14:textId="7BB5EC0F" w:rsidR="00D16045" w:rsidRPr="004F06F2" w:rsidRDefault="00D16045" w:rsidP="00AB5EE6">
      <w:pPr>
        <w:spacing w:before="0" w:after="0"/>
        <w:rPr>
          <w:rFonts w:eastAsia="Calibri" w:cs="Times New Roman"/>
          <w:bCs/>
          <w:sz w:val="22"/>
          <w:szCs w:val="22"/>
        </w:rPr>
      </w:pPr>
    </w:p>
    <w:p w14:paraId="2154A1C0" w14:textId="44EA0A4C" w:rsidR="00806629" w:rsidRPr="004F06F2" w:rsidRDefault="00806629" w:rsidP="00AB5EE6">
      <w:pPr>
        <w:spacing w:before="0" w:after="0"/>
        <w:rPr>
          <w:rFonts w:eastAsia="Calibri" w:cs="Times New Roman"/>
          <w:b/>
          <w:sz w:val="22"/>
          <w:szCs w:val="22"/>
        </w:rPr>
      </w:pPr>
      <w:r w:rsidRPr="004F06F2">
        <w:rPr>
          <w:rFonts w:eastAsia="Calibri" w:cs="Times New Roman"/>
          <w:b/>
          <w:sz w:val="22"/>
          <w:szCs w:val="22"/>
        </w:rPr>
        <w:t>HR RATINGS</w:t>
      </w:r>
    </w:p>
    <w:p w14:paraId="6199E537" w14:textId="5B57134A" w:rsidR="00806629" w:rsidRPr="004F06F2" w:rsidRDefault="00D47963" w:rsidP="00AB5EE6">
      <w:pPr>
        <w:spacing w:before="0" w:after="0"/>
        <w:rPr>
          <w:rFonts w:eastAsia="Calibri" w:cs="Times New Roman"/>
          <w:bCs/>
          <w:sz w:val="22"/>
          <w:szCs w:val="22"/>
        </w:rPr>
      </w:pPr>
      <w:r w:rsidRPr="004F06F2">
        <w:rPr>
          <w:rFonts w:eastAsia="Calibri" w:cs="Times New Roman"/>
          <w:bCs/>
          <w:sz w:val="22"/>
          <w:szCs w:val="22"/>
        </w:rPr>
        <w:t xml:space="preserve">La calificación de HR Ratings, </w:t>
      </w:r>
      <w:proofErr w:type="spellStart"/>
      <w:r w:rsidRPr="004F06F2">
        <w:rPr>
          <w:rFonts w:eastAsia="Calibri" w:cs="Times New Roman"/>
          <w:bCs/>
          <w:sz w:val="22"/>
          <w:szCs w:val="22"/>
        </w:rPr>
        <w:t>Credit</w:t>
      </w:r>
      <w:proofErr w:type="spellEnd"/>
      <w:r w:rsidRPr="004F06F2">
        <w:rPr>
          <w:rFonts w:eastAsia="Calibri" w:cs="Times New Roman"/>
          <w:bCs/>
          <w:sz w:val="22"/>
          <w:szCs w:val="22"/>
        </w:rPr>
        <w:t xml:space="preserve"> Rating Agency </w:t>
      </w:r>
      <w:r w:rsidR="006131F6" w:rsidRPr="004F06F2">
        <w:rPr>
          <w:rFonts w:eastAsia="Calibri" w:cs="Times New Roman"/>
          <w:bCs/>
          <w:sz w:val="22"/>
          <w:szCs w:val="22"/>
        </w:rPr>
        <w:t>en sus siete</w:t>
      </w:r>
      <w:r w:rsidRPr="004F06F2">
        <w:rPr>
          <w:rFonts w:eastAsia="Calibri" w:cs="Times New Roman"/>
          <w:bCs/>
          <w:sz w:val="22"/>
          <w:szCs w:val="22"/>
        </w:rPr>
        <w:t xml:space="preserve"> calificaciones se mantiene en AAA</w:t>
      </w:r>
      <w:r w:rsidR="006257D0" w:rsidRPr="004F06F2">
        <w:rPr>
          <w:rFonts w:eastAsia="Calibri" w:cs="Times New Roman"/>
          <w:bCs/>
          <w:sz w:val="22"/>
          <w:szCs w:val="22"/>
        </w:rPr>
        <w:t xml:space="preserve"> (E)</w:t>
      </w:r>
      <w:r w:rsidRPr="004F06F2">
        <w:rPr>
          <w:rFonts w:eastAsia="Calibri" w:cs="Times New Roman"/>
          <w:bCs/>
          <w:sz w:val="22"/>
          <w:szCs w:val="22"/>
        </w:rPr>
        <w:t xml:space="preserve"> con perspectiva estable debido a que el crecimiento Nominal</w:t>
      </w:r>
      <w:r w:rsidR="006131F6" w:rsidRPr="004F06F2">
        <w:rPr>
          <w:rFonts w:eastAsia="Calibri" w:cs="Times New Roman"/>
          <w:bCs/>
          <w:sz w:val="22"/>
          <w:szCs w:val="22"/>
        </w:rPr>
        <w:t xml:space="preserve"> de 18.4%, que</w:t>
      </w:r>
      <w:r w:rsidRPr="004F06F2">
        <w:rPr>
          <w:rFonts w:eastAsia="Calibri" w:cs="Times New Roman"/>
          <w:bCs/>
          <w:sz w:val="22"/>
          <w:szCs w:val="22"/>
        </w:rPr>
        <w:t xml:space="preserve"> fue superior</w:t>
      </w:r>
      <w:r w:rsidR="006131F6" w:rsidRPr="004F06F2">
        <w:rPr>
          <w:rFonts w:eastAsia="Calibri" w:cs="Times New Roman"/>
          <w:bCs/>
          <w:sz w:val="22"/>
          <w:szCs w:val="22"/>
        </w:rPr>
        <w:t xml:space="preserve"> a la media nacional (16.9%)</w:t>
      </w:r>
      <w:r w:rsidRPr="004F06F2">
        <w:rPr>
          <w:rFonts w:eastAsia="Calibri" w:cs="Times New Roman"/>
          <w:bCs/>
          <w:sz w:val="22"/>
          <w:szCs w:val="22"/>
        </w:rPr>
        <w:t xml:space="preserve"> y se estima un</w:t>
      </w:r>
      <w:r w:rsidR="006257D0" w:rsidRPr="004F06F2">
        <w:rPr>
          <w:rFonts w:eastAsia="Calibri" w:cs="Times New Roman"/>
          <w:bCs/>
          <w:sz w:val="22"/>
          <w:szCs w:val="22"/>
        </w:rPr>
        <w:t xml:space="preserve"> </w:t>
      </w:r>
      <w:r w:rsidRPr="004F06F2">
        <w:rPr>
          <w:rFonts w:eastAsia="Calibri" w:cs="Times New Roman"/>
          <w:bCs/>
          <w:sz w:val="22"/>
          <w:szCs w:val="22"/>
        </w:rPr>
        <w:t>escenario base de la fuente de pago en crecimiento hasta 20</w:t>
      </w:r>
      <w:r w:rsidR="006131F6" w:rsidRPr="004F06F2">
        <w:rPr>
          <w:rFonts w:eastAsia="Calibri" w:cs="Times New Roman"/>
          <w:bCs/>
          <w:sz w:val="22"/>
          <w:szCs w:val="22"/>
        </w:rPr>
        <w:t>43 del 3.30%</w:t>
      </w:r>
      <w:r w:rsidR="006257D0" w:rsidRPr="004F06F2">
        <w:rPr>
          <w:rFonts w:eastAsia="Calibri" w:cs="Times New Roman"/>
          <w:bCs/>
          <w:sz w:val="22"/>
          <w:szCs w:val="22"/>
        </w:rPr>
        <w:t>.</w:t>
      </w:r>
    </w:p>
    <w:p w14:paraId="4276F901" w14:textId="77777777" w:rsidR="003E2C2C" w:rsidRPr="004F06F2" w:rsidRDefault="003E2C2C" w:rsidP="00AB5EE6">
      <w:pPr>
        <w:spacing w:before="0" w:after="0"/>
        <w:rPr>
          <w:rFonts w:eastAsia="Calibri" w:cs="Times New Roman"/>
          <w:bCs/>
          <w:sz w:val="22"/>
          <w:szCs w:val="22"/>
        </w:rPr>
      </w:pPr>
    </w:p>
    <w:p w14:paraId="0631C9F6" w14:textId="77777777" w:rsidR="00086873" w:rsidRPr="004F06F2" w:rsidRDefault="00086873" w:rsidP="00086873">
      <w:pPr>
        <w:spacing w:before="0" w:after="0"/>
        <w:rPr>
          <w:rFonts w:eastAsia="Calibri" w:cs="Times New Roman"/>
          <w:b/>
          <w:sz w:val="22"/>
          <w:szCs w:val="22"/>
        </w:rPr>
      </w:pPr>
      <w:r w:rsidRPr="004F06F2">
        <w:rPr>
          <w:rFonts w:eastAsia="Calibri" w:cs="Times New Roman"/>
          <w:b/>
          <w:sz w:val="22"/>
          <w:szCs w:val="22"/>
        </w:rPr>
        <w:t>a) Principales políticas de control interno</w:t>
      </w:r>
    </w:p>
    <w:p w14:paraId="3F1D9937" w14:textId="77777777" w:rsidR="00086873" w:rsidRPr="004F06F2" w:rsidRDefault="00086873" w:rsidP="00086873">
      <w:pPr>
        <w:spacing w:before="0" w:after="0"/>
        <w:rPr>
          <w:rFonts w:eastAsia="Calibri" w:cs="Times New Roman"/>
          <w:bCs/>
          <w:sz w:val="22"/>
          <w:szCs w:val="22"/>
        </w:rPr>
      </w:pPr>
    </w:p>
    <w:p w14:paraId="6D8BAB52" w14:textId="77777777" w:rsidR="00086873" w:rsidRPr="004F06F2" w:rsidRDefault="00086873" w:rsidP="00086873">
      <w:pPr>
        <w:spacing w:before="0" w:after="0"/>
        <w:rPr>
          <w:rFonts w:eastAsia="Calibri" w:cs="Times New Roman"/>
          <w:bCs/>
          <w:sz w:val="22"/>
          <w:szCs w:val="22"/>
        </w:rPr>
      </w:pPr>
      <w:r w:rsidRPr="004F06F2">
        <w:rPr>
          <w:rFonts w:eastAsia="Calibri" w:cs="Times New Roman"/>
          <w:bCs/>
          <w:sz w:val="22"/>
          <w:szCs w:val="22"/>
        </w:rPr>
        <w:t xml:space="preserve">En 2017, con la entrada en vigor del Sistema Nacional Anticorrupción se crea el Sistema Nacional de Fiscalización (SNF) cuyo objetivo entre otros es </w:t>
      </w:r>
      <w:r w:rsidRPr="004F06F2">
        <w:rPr>
          <w:rFonts w:eastAsia="Calibri" w:cs="Times New Roman"/>
          <w:bCs/>
          <w:sz w:val="22"/>
          <w:szCs w:val="22"/>
        </w:rPr>
        <w:lastRenderedPageBreak/>
        <w:t>homologar la normativa en materia de control Interno que se aplica en los tres órdenes de gobierno.</w:t>
      </w:r>
    </w:p>
    <w:p w14:paraId="2238488D" w14:textId="77777777" w:rsidR="00086873" w:rsidRPr="004F06F2" w:rsidRDefault="00086873" w:rsidP="00086873">
      <w:pPr>
        <w:spacing w:before="0" w:after="0"/>
        <w:rPr>
          <w:rFonts w:eastAsia="Calibri" w:cs="Times New Roman"/>
          <w:bCs/>
          <w:sz w:val="22"/>
          <w:szCs w:val="22"/>
        </w:rPr>
      </w:pPr>
    </w:p>
    <w:p w14:paraId="64440217" w14:textId="77777777" w:rsidR="00086873" w:rsidRPr="004F06F2" w:rsidRDefault="00086873" w:rsidP="00086873">
      <w:pPr>
        <w:spacing w:before="0" w:after="0"/>
        <w:rPr>
          <w:rFonts w:eastAsia="Calibri" w:cs="Times New Roman"/>
          <w:bCs/>
          <w:sz w:val="22"/>
          <w:szCs w:val="22"/>
        </w:rPr>
      </w:pPr>
      <w:r w:rsidRPr="004F06F2">
        <w:rPr>
          <w:rFonts w:eastAsia="Calibri" w:cs="Times New Roman"/>
          <w:bCs/>
          <w:sz w:val="22"/>
          <w:szCs w:val="22"/>
        </w:rPr>
        <w:t>El 21 de diciembre de 2020 se publicó en el Periódico Oficial del Gobierno del Estado de Michoacán, el Acuerdo por el que se emiten las Normas de Aplicación General en Materia de Control Interno para la Administración Pública del Estado de Michoacán de Ocampo.</w:t>
      </w:r>
    </w:p>
    <w:p w14:paraId="20112764" w14:textId="77777777" w:rsidR="00086873" w:rsidRPr="004F06F2" w:rsidRDefault="00086873" w:rsidP="00086873">
      <w:pPr>
        <w:spacing w:before="0" w:after="0"/>
        <w:rPr>
          <w:rFonts w:eastAsia="Calibri" w:cs="Times New Roman"/>
          <w:bCs/>
          <w:sz w:val="22"/>
          <w:szCs w:val="22"/>
        </w:rPr>
      </w:pPr>
    </w:p>
    <w:p w14:paraId="4D20E48B" w14:textId="77777777" w:rsidR="00086873" w:rsidRPr="004F06F2" w:rsidRDefault="00086873" w:rsidP="00086873">
      <w:pPr>
        <w:spacing w:before="0" w:after="0"/>
        <w:rPr>
          <w:rFonts w:eastAsia="Calibri" w:cs="Times New Roman"/>
          <w:bCs/>
          <w:sz w:val="22"/>
          <w:szCs w:val="22"/>
        </w:rPr>
      </w:pPr>
      <w:r w:rsidRPr="004F06F2">
        <w:rPr>
          <w:rFonts w:eastAsia="Calibri" w:cs="Times New Roman"/>
          <w:bCs/>
          <w:sz w:val="22"/>
          <w:szCs w:val="22"/>
        </w:rPr>
        <w:t>Lo anterior es un proceso llevado a cabo por el nivel Directivo de las Dependencias, Coordinaciones o Entidades, diseñado con el objeto de proporcionar un grado de seguridad razonable en cuanto a la consecución de los objetivos relacionados con las operaciones, la información y el cumplimiento.</w:t>
      </w:r>
    </w:p>
    <w:p w14:paraId="01EC91B3" w14:textId="77777777" w:rsidR="00086873" w:rsidRPr="004F06F2" w:rsidRDefault="00086873" w:rsidP="00086873">
      <w:pPr>
        <w:spacing w:before="0" w:after="0"/>
        <w:rPr>
          <w:rFonts w:eastAsia="Calibri" w:cs="Times New Roman"/>
          <w:bCs/>
          <w:sz w:val="22"/>
          <w:szCs w:val="22"/>
        </w:rPr>
      </w:pPr>
    </w:p>
    <w:p w14:paraId="6B9E3466" w14:textId="77777777" w:rsidR="00086873" w:rsidRPr="004F06F2" w:rsidRDefault="00086873" w:rsidP="00086873">
      <w:pPr>
        <w:spacing w:before="0" w:after="0"/>
        <w:rPr>
          <w:rFonts w:eastAsia="Calibri" w:cs="Times New Roman"/>
          <w:bCs/>
          <w:sz w:val="22"/>
          <w:szCs w:val="22"/>
        </w:rPr>
      </w:pPr>
      <w:r w:rsidRPr="004F06F2">
        <w:rPr>
          <w:rFonts w:eastAsia="Calibri" w:cs="Times New Roman"/>
          <w:bCs/>
          <w:sz w:val="22"/>
          <w:szCs w:val="22"/>
        </w:rPr>
        <w:t>En 2022 se llevó a cabo el trabajo de elaboración de una matriz de riesgos, identificando la probabilidad de que un evento o acción adversa pueda ocurrir, y su impacto afecte negativamente en el logro de objetivos y metas, así como las circunstancias, causa o situación interna o externa que aumente la probabilidad de que un riesgo se materialice, para poder identificar estrategias y áreas de oportunidad en la Institución, considerando las etapas de la metodología de administración de riegos.</w:t>
      </w:r>
    </w:p>
    <w:p w14:paraId="2F4D2BFD" w14:textId="77777777" w:rsidR="00086873" w:rsidRPr="004F06F2" w:rsidRDefault="00086873" w:rsidP="00086873">
      <w:pPr>
        <w:spacing w:before="0" w:after="0"/>
        <w:rPr>
          <w:rFonts w:eastAsia="Calibri" w:cs="Times New Roman"/>
          <w:bCs/>
          <w:sz w:val="22"/>
          <w:szCs w:val="22"/>
        </w:rPr>
      </w:pPr>
    </w:p>
    <w:p w14:paraId="3E9D47ED" w14:textId="77777777" w:rsidR="00086873" w:rsidRPr="004F06F2" w:rsidRDefault="00086873" w:rsidP="00086873">
      <w:pPr>
        <w:spacing w:before="0" w:after="0"/>
        <w:rPr>
          <w:rFonts w:eastAsia="Calibri" w:cs="Times New Roman"/>
          <w:bCs/>
          <w:sz w:val="22"/>
          <w:szCs w:val="22"/>
        </w:rPr>
      </w:pPr>
      <w:r w:rsidRPr="004F06F2">
        <w:rPr>
          <w:rFonts w:eastAsia="Calibri" w:cs="Times New Roman"/>
          <w:bCs/>
          <w:sz w:val="22"/>
          <w:szCs w:val="22"/>
        </w:rPr>
        <w:t>De esta manera se identificaron riesgos tanto humanos como financieros, presupuestales, técnicos, administrativos, de tecnologías de la información, normativos y del entorno, los cuales se clasificaron por su probabilidad de ocurrencia de la siguiente manera:</w:t>
      </w:r>
    </w:p>
    <w:p w14:paraId="32DD1FB9" w14:textId="77777777" w:rsidR="00086873" w:rsidRPr="004F06F2" w:rsidRDefault="00086873" w:rsidP="00086873">
      <w:pPr>
        <w:spacing w:before="0" w:after="0"/>
        <w:rPr>
          <w:rFonts w:eastAsia="Calibri" w:cs="Times New Roman"/>
          <w:bCs/>
          <w:sz w:val="22"/>
          <w:szCs w:val="22"/>
        </w:rPr>
      </w:pPr>
    </w:p>
    <w:p w14:paraId="6816C0C4" w14:textId="77777777" w:rsidR="00086873" w:rsidRPr="004F06F2" w:rsidRDefault="00086873" w:rsidP="00086873">
      <w:pPr>
        <w:spacing w:before="0" w:after="0"/>
        <w:jc w:val="center"/>
        <w:rPr>
          <w:rFonts w:eastAsia="Calibri" w:cs="Times New Roman"/>
          <w:bCs/>
          <w:sz w:val="22"/>
          <w:szCs w:val="22"/>
        </w:rPr>
      </w:pPr>
      <w:r w:rsidRPr="004F06F2">
        <w:rPr>
          <w:rFonts w:eastAsia="Calibri" w:cs="Times New Roman"/>
          <w:bCs/>
          <w:noProof/>
          <w:sz w:val="22"/>
          <w:szCs w:val="22"/>
          <w:lang w:val="es-MX" w:eastAsia="es-MX"/>
        </w:rPr>
        <w:drawing>
          <wp:inline distT="0" distB="0" distL="0" distR="0" wp14:anchorId="67D3093C" wp14:editId="14426960">
            <wp:extent cx="2581275" cy="1650549"/>
            <wp:effectExtent l="0" t="0" r="0" b="698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98115" cy="1661317"/>
                    </a:xfrm>
                    <a:prstGeom prst="rect">
                      <a:avLst/>
                    </a:prstGeom>
                    <a:noFill/>
                  </pic:spPr>
                </pic:pic>
              </a:graphicData>
            </a:graphic>
          </wp:inline>
        </w:drawing>
      </w:r>
    </w:p>
    <w:p w14:paraId="4BEE00C2" w14:textId="77777777" w:rsidR="00086873" w:rsidRPr="004F06F2" w:rsidRDefault="00086873" w:rsidP="00086873">
      <w:pPr>
        <w:spacing w:before="0" w:after="0"/>
        <w:rPr>
          <w:rFonts w:eastAsia="Calibri" w:cs="Times New Roman"/>
          <w:bCs/>
          <w:sz w:val="22"/>
          <w:szCs w:val="22"/>
        </w:rPr>
      </w:pPr>
      <w:r w:rsidRPr="004F06F2">
        <w:rPr>
          <w:rFonts w:eastAsia="Calibri" w:cs="Times New Roman"/>
          <w:bCs/>
          <w:sz w:val="22"/>
          <w:szCs w:val="22"/>
        </w:rPr>
        <w:lastRenderedPageBreak/>
        <w:t>Una vez clasificados los riesgos, se define la estrategia de atención como sigue:</w:t>
      </w:r>
    </w:p>
    <w:p w14:paraId="049FFF5A" w14:textId="77777777" w:rsidR="00086873" w:rsidRPr="004F06F2" w:rsidRDefault="00086873" w:rsidP="00086873">
      <w:pPr>
        <w:spacing w:before="0" w:after="0"/>
        <w:rPr>
          <w:rFonts w:eastAsia="Calibri" w:cs="Times New Roman"/>
          <w:bCs/>
          <w:sz w:val="22"/>
          <w:szCs w:val="22"/>
        </w:rPr>
      </w:pPr>
    </w:p>
    <w:p w14:paraId="0913D041" w14:textId="77777777" w:rsidR="00086873" w:rsidRPr="004F06F2" w:rsidRDefault="00086873" w:rsidP="00086873">
      <w:pPr>
        <w:spacing w:before="0" w:after="0"/>
        <w:rPr>
          <w:rFonts w:eastAsia="Calibri" w:cs="Times New Roman"/>
          <w:bCs/>
          <w:sz w:val="22"/>
          <w:szCs w:val="22"/>
        </w:rPr>
      </w:pPr>
      <w:r w:rsidRPr="004F06F2">
        <w:rPr>
          <w:rFonts w:eastAsia="Calibri" w:cs="Times New Roman"/>
          <w:bCs/>
          <w:sz w:val="22"/>
          <w:szCs w:val="22"/>
        </w:rPr>
        <w:t xml:space="preserve">1. Reducir el riesgo. Implica establecer acciones dirigidas a disminuir la probabilidad de ocurrencia (acciones de prevención) y el impacto (acciones de contingencia), tales como la optimización de los procedimientos y la implementación o mejora de controles. </w:t>
      </w:r>
    </w:p>
    <w:p w14:paraId="5828F5B3" w14:textId="77777777" w:rsidR="00086873" w:rsidRPr="004F06F2" w:rsidRDefault="00086873" w:rsidP="00086873">
      <w:pPr>
        <w:spacing w:before="0" w:after="0"/>
        <w:rPr>
          <w:rFonts w:eastAsia="Calibri" w:cs="Times New Roman"/>
          <w:bCs/>
          <w:sz w:val="22"/>
          <w:szCs w:val="22"/>
        </w:rPr>
      </w:pPr>
    </w:p>
    <w:p w14:paraId="3666B4B0" w14:textId="77777777" w:rsidR="00086873" w:rsidRPr="004F06F2" w:rsidRDefault="00086873" w:rsidP="00086873">
      <w:pPr>
        <w:spacing w:before="0" w:after="0"/>
        <w:rPr>
          <w:rFonts w:eastAsia="Calibri" w:cs="Times New Roman"/>
          <w:bCs/>
          <w:sz w:val="22"/>
          <w:szCs w:val="22"/>
        </w:rPr>
      </w:pPr>
      <w:r w:rsidRPr="004F06F2">
        <w:rPr>
          <w:rFonts w:eastAsia="Calibri" w:cs="Times New Roman"/>
          <w:bCs/>
          <w:sz w:val="22"/>
          <w:szCs w:val="22"/>
        </w:rPr>
        <w:t xml:space="preserve">2. Asumir el riesgo. Se aplica cuando el riesgo se encuentra en el Cuadrante III, Riesgos Controlados de baja probabilidad de ocurrencia y grado de impacto y puede aceptarse sin necesidad de tomar otras medidas de control diferentes a las que se poseen, o cuando no se tiene opción para abatirlo y solo pueden establecerse acciones de contingencia. </w:t>
      </w:r>
    </w:p>
    <w:p w14:paraId="1D2E838E" w14:textId="77777777" w:rsidR="00086873" w:rsidRPr="004F06F2" w:rsidRDefault="00086873" w:rsidP="00086873">
      <w:pPr>
        <w:spacing w:before="0" w:after="0"/>
        <w:rPr>
          <w:rFonts w:eastAsia="Calibri" w:cs="Times New Roman"/>
          <w:bCs/>
          <w:sz w:val="22"/>
          <w:szCs w:val="22"/>
        </w:rPr>
      </w:pPr>
    </w:p>
    <w:p w14:paraId="1C799A3B" w14:textId="3D7BBFAC" w:rsidR="00086873" w:rsidRPr="004F06F2" w:rsidRDefault="00086873" w:rsidP="00086873">
      <w:pPr>
        <w:spacing w:before="0" w:after="0"/>
        <w:rPr>
          <w:rFonts w:eastAsia="Calibri" w:cs="Times New Roman"/>
          <w:bCs/>
          <w:sz w:val="22"/>
          <w:szCs w:val="22"/>
        </w:rPr>
      </w:pPr>
      <w:r w:rsidRPr="004F06F2">
        <w:rPr>
          <w:rFonts w:eastAsia="Calibri" w:cs="Times New Roman"/>
          <w:bCs/>
          <w:sz w:val="22"/>
          <w:szCs w:val="22"/>
        </w:rPr>
        <w:t>3. Transferir el riesgo. Consiste en trasladar el riesgo a un externo a través de la contratación de servicios tercerizados, el cual deberá́</w:t>
      </w:r>
      <w:r w:rsidR="0010219F">
        <w:rPr>
          <w:rFonts w:eastAsia="Calibri" w:cs="Times New Roman"/>
          <w:bCs/>
          <w:sz w:val="22"/>
          <w:szCs w:val="22"/>
        </w:rPr>
        <w:t xml:space="preserve"> </w:t>
      </w:r>
      <w:r w:rsidRPr="004F06F2">
        <w:rPr>
          <w:rFonts w:eastAsia="Calibri" w:cs="Times New Roman"/>
          <w:bCs/>
          <w:sz w:val="22"/>
          <w:szCs w:val="22"/>
        </w:rPr>
        <w:t xml:space="preserve">tener la experiencia y especialización necesaria para asumir el riesgo, así́ como sus impactos o pérdidas derivadas de su materialización </w:t>
      </w:r>
    </w:p>
    <w:p w14:paraId="001E9364" w14:textId="77777777" w:rsidR="00086873" w:rsidRPr="004F06F2" w:rsidRDefault="00086873" w:rsidP="00086873">
      <w:pPr>
        <w:spacing w:before="0" w:after="0"/>
        <w:rPr>
          <w:rFonts w:eastAsia="Calibri" w:cs="Times New Roman"/>
          <w:bCs/>
          <w:sz w:val="22"/>
          <w:szCs w:val="22"/>
        </w:rPr>
      </w:pPr>
    </w:p>
    <w:p w14:paraId="041C6C7A" w14:textId="77777777" w:rsidR="00075FCD" w:rsidRDefault="00086873" w:rsidP="00086873">
      <w:pPr>
        <w:spacing w:before="0" w:after="0"/>
        <w:rPr>
          <w:rFonts w:eastAsia="Calibri" w:cs="Times New Roman"/>
          <w:bCs/>
          <w:sz w:val="22"/>
          <w:szCs w:val="22"/>
        </w:rPr>
      </w:pPr>
      <w:r w:rsidRPr="004F06F2">
        <w:rPr>
          <w:rFonts w:eastAsia="Calibri" w:cs="Times New Roman"/>
          <w:bCs/>
          <w:sz w:val="22"/>
          <w:szCs w:val="22"/>
        </w:rPr>
        <w:t xml:space="preserve">4. Compartir el riesgo.- Se refiere a distribuir parcialmente el riesgo y las </w:t>
      </w:r>
    </w:p>
    <w:p w14:paraId="30092185" w14:textId="517A242A" w:rsidR="00086873" w:rsidRPr="004F06F2" w:rsidRDefault="00086873" w:rsidP="00086873">
      <w:pPr>
        <w:spacing w:before="0" w:after="0"/>
        <w:rPr>
          <w:rFonts w:eastAsia="Calibri" w:cs="Times New Roman"/>
          <w:bCs/>
          <w:sz w:val="22"/>
          <w:szCs w:val="22"/>
        </w:rPr>
      </w:pPr>
      <w:r w:rsidRPr="004F06F2">
        <w:rPr>
          <w:rFonts w:eastAsia="Calibri" w:cs="Times New Roman"/>
          <w:bCs/>
          <w:sz w:val="22"/>
          <w:szCs w:val="22"/>
        </w:rPr>
        <w:t xml:space="preserve">posibles consecuencias, a efecto de segmentarlo y canalizarlo a diferentes unidades administrativas de la institución, las cuales se responsabilizaran de la parte del riesgo que les corresponda en su ámbito de competencia. </w:t>
      </w:r>
    </w:p>
    <w:p w14:paraId="6957BC03" w14:textId="77777777" w:rsidR="00086873" w:rsidRPr="004F06F2" w:rsidRDefault="00086873" w:rsidP="00086873">
      <w:pPr>
        <w:spacing w:before="0" w:after="0"/>
        <w:rPr>
          <w:rFonts w:eastAsia="Calibri" w:cs="Times New Roman"/>
          <w:bCs/>
          <w:sz w:val="22"/>
          <w:szCs w:val="22"/>
        </w:rPr>
      </w:pPr>
    </w:p>
    <w:p w14:paraId="65D4BF5D" w14:textId="77777777" w:rsidR="00086873" w:rsidRPr="004F06F2" w:rsidRDefault="00086873" w:rsidP="00086873">
      <w:pPr>
        <w:spacing w:before="0" w:after="0"/>
        <w:rPr>
          <w:rFonts w:eastAsia="Calibri" w:cs="Times New Roman"/>
          <w:bCs/>
          <w:sz w:val="22"/>
          <w:szCs w:val="22"/>
        </w:rPr>
      </w:pPr>
      <w:r w:rsidRPr="004F06F2">
        <w:rPr>
          <w:rFonts w:eastAsia="Calibri" w:cs="Times New Roman"/>
          <w:bCs/>
          <w:sz w:val="22"/>
          <w:szCs w:val="22"/>
        </w:rPr>
        <w:t xml:space="preserve">5. Tolerancia al Riesgo. La Administración deberá́ definir la tolerancia a los riesgos identificados para los objetivos estratégicos definidos por la Institución. En donde la tolerancia al riesgo se debe considerar como el nivel aceptable de diferencia entre el cumplimiento cabal del objetivo estratégico, respecto de su grado real de cumplimiento </w:t>
      </w:r>
    </w:p>
    <w:p w14:paraId="2DBE51CA" w14:textId="77777777" w:rsidR="00086873" w:rsidRPr="004F06F2" w:rsidRDefault="00086873" w:rsidP="00086873">
      <w:pPr>
        <w:spacing w:before="0" w:after="0"/>
        <w:rPr>
          <w:rFonts w:eastAsia="Calibri" w:cs="Times New Roman"/>
          <w:bCs/>
          <w:sz w:val="22"/>
          <w:szCs w:val="22"/>
        </w:rPr>
      </w:pPr>
    </w:p>
    <w:p w14:paraId="795487A6" w14:textId="77777777" w:rsidR="00086873" w:rsidRPr="004F06F2" w:rsidRDefault="00086873" w:rsidP="00086873">
      <w:pPr>
        <w:spacing w:before="0" w:after="0"/>
        <w:rPr>
          <w:rFonts w:eastAsia="Calibri" w:cs="Times New Roman"/>
          <w:bCs/>
          <w:sz w:val="22"/>
          <w:szCs w:val="22"/>
        </w:rPr>
      </w:pPr>
      <w:r w:rsidRPr="004F06F2">
        <w:rPr>
          <w:rFonts w:eastAsia="Calibri" w:cs="Times New Roman"/>
          <w:bCs/>
          <w:sz w:val="22"/>
          <w:szCs w:val="22"/>
        </w:rPr>
        <w:t xml:space="preserve">6. Servicios Tercerizados. La Administración conserva la responsabilidad sobre el desempeño de las actividades realizadas por los servicios tercerizados que contrate para realizar algunos procesos operativos para la institución, tales como servicios de tecnologías de información y </w:t>
      </w:r>
      <w:r w:rsidRPr="004F06F2">
        <w:rPr>
          <w:rFonts w:eastAsia="Calibri" w:cs="Times New Roman"/>
          <w:bCs/>
          <w:sz w:val="22"/>
          <w:szCs w:val="22"/>
        </w:rPr>
        <w:lastRenderedPageBreak/>
        <w:t>comunicaciones, servicios de mantenimiento, servicios de seguridad o servicios de limpieza</w:t>
      </w:r>
    </w:p>
    <w:p w14:paraId="3AE4E045" w14:textId="77777777" w:rsidR="00086873" w:rsidRPr="004F06F2" w:rsidRDefault="00086873" w:rsidP="00086873">
      <w:pPr>
        <w:spacing w:before="0" w:after="0"/>
        <w:rPr>
          <w:rFonts w:eastAsia="Calibri" w:cs="Times New Roman"/>
          <w:bCs/>
          <w:sz w:val="22"/>
          <w:szCs w:val="22"/>
        </w:rPr>
      </w:pPr>
    </w:p>
    <w:p w14:paraId="797C7F5E" w14:textId="77777777" w:rsidR="00086873" w:rsidRPr="004F06F2" w:rsidRDefault="00086873" w:rsidP="00086873">
      <w:pPr>
        <w:spacing w:before="0" w:after="0"/>
        <w:rPr>
          <w:rFonts w:eastAsia="Calibri" w:cs="Times New Roman"/>
          <w:bCs/>
          <w:sz w:val="22"/>
          <w:szCs w:val="22"/>
        </w:rPr>
      </w:pPr>
      <w:r w:rsidRPr="004F06F2">
        <w:rPr>
          <w:rFonts w:eastAsia="Calibri" w:cs="Times New Roman"/>
          <w:bCs/>
          <w:sz w:val="22"/>
          <w:szCs w:val="22"/>
        </w:rPr>
        <w:t>De esta manera se pretende avanzar en la mejora de la administración pública en cumplimiento de la normativa aplicable.</w:t>
      </w:r>
    </w:p>
    <w:p w14:paraId="382F4437" w14:textId="77777777" w:rsidR="00086873" w:rsidRPr="004F06F2" w:rsidRDefault="00086873" w:rsidP="00086873">
      <w:pPr>
        <w:spacing w:before="0" w:after="0"/>
        <w:rPr>
          <w:rFonts w:eastAsia="Calibri" w:cs="Times New Roman"/>
          <w:bCs/>
          <w:sz w:val="22"/>
          <w:szCs w:val="22"/>
        </w:rPr>
      </w:pPr>
    </w:p>
    <w:p w14:paraId="0858D09E" w14:textId="77777777" w:rsidR="00086873" w:rsidRPr="004F06F2" w:rsidRDefault="00086873" w:rsidP="00086873">
      <w:pPr>
        <w:spacing w:before="0" w:after="0"/>
        <w:rPr>
          <w:rFonts w:eastAsia="Calibri" w:cs="Times New Roman"/>
          <w:b/>
          <w:sz w:val="22"/>
          <w:szCs w:val="22"/>
        </w:rPr>
      </w:pPr>
      <w:r w:rsidRPr="004F06F2">
        <w:rPr>
          <w:rFonts w:eastAsia="Calibri" w:cs="Times New Roman"/>
          <w:b/>
          <w:sz w:val="22"/>
          <w:szCs w:val="22"/>
        </w:rPr>
        <w:t>b) Medidas de Desempeño Financiero, Metas y Alcance</w:t>
      </w:r>
    </w:p>
    <w:p w14:paraId="524800AF" w14:textId="77777777" w:rsidR="00086873" w:rsidRPr="004F06F2" w:rsidRDefault="00086873" w:rsidP="00086873">
      <w:pPr>
        <w:spacing w:before="0" w:after="0"/>
        <w:rPr>
          <w:rFonts w:eastAsia="Calibri" w:cs="Times New Roman"/>
          <w:sz w:val="22"/>
          <w:szCs w:val="22"/>
        </w:rPr>
      </w:pPr>
    </w:p>
    <w:p w14:paraId="2F4F17C3" w14:textId="77777777" w:rsidR="00086873" w:rsidRPr="004F06F2" w:rsidRDefault="00086873" w:rsidP="00086873">
      <w:pPr>
        <w:spacing w:before="0" w:after="0"/>
        <w:rPr>
          <w:rFonts w:eastAsia="Calibri" w:cs="Times New Roman"/>
          <w:sz w:val="22"/>
          <w:szCs w:val="22"/>
        </w:rPr>
      </w:pPr>
      <w:r w:rsidRPr="004F06F2">
        <w:rPr>
          <w:rFonts w:eastAsia="Calibri" w:cs="Times New Roman"/>
          <w:sz w:val="22"/>
          <w:szCs w:val="22"/>
        </w:rPr>
        <w:t>Con fundamento en lo establecido en el artículo 134 de la Constitución Política de los Estados Unidos Mexicanos, los recursos económicos de que dispongan la Federación, las entidades federativas, los Municipios y las demarcaciones territoriales de la Ciudad de México, se administrarán con eficiencia, eficacia, economía, transparencia y honradez para satisfacer los objetivos a los que estén destinados.</w:t>
      </w:r>
    </w:p>
    <w:p w14:paraId="084F53AF" w14:textId="77777777" w:rsidR="00086873" w:rsidRPr="004F06F2" w:rsidRDefault="00086873" w:rsidP="00086873">
      <w:pPr>
        <w:spacing w:before="0" w:after="0"/>
        <w:rPr>
          <w:rFonts w:eastAsia="Calibri" w:cs="Times New Roman"/>
          <w:sz w:val="22"/>
          <w:szCs w:val="22"/>
        </w:rPr>
      </w:pPr>
    </w:p>
    <w:p w14:paraId="664A0AC2" w14:textId="77777777" w:rsidR="00086873" w:rsidRPr="004F06F2" w:rsidRDefault="00086873" w:rsidP="00086873">
      <w:pPr>
        <w:spacing w:before="0" w:after="0"/>
        <w:rPr>
          <w:rFonts w:eastAsia="Calibri" w:cs="Times New Roman"/>
          <w:sz w:val="22"/>
          <w:szCs w:val="22"/>
        </w:rPr>
      </w:pPr>
      <w:r w:rsidRPr="004F06F2">
        <w:rPr>
          <w:rFonts w:eastAsia="Calibri" w:cs="Times New Roman"/>
          <w:sz w:val="22"/>
          <w:szCs w:val="22"/>
        </w:rPr>
        <w:t>En concordancia, los recursos recaudados por el Gobierno del Estado de Michoacán son destinados al Gasto a fin de cumplir con el mandato del Plan Estatal de Desarrollo (PED) y el Plan Nacional de Desarrollo (PND), honrando el pacto social que corresponde cumplir al gobierno, en materia de Gestión y Desarrollo Financiero, con un manejo responsable de las finanzas públicas en apego a la austeridad republicana.</w:t>
      </w:r>
    </w:p>
    <w:p w14:paraId="418B986E" w14:textId="77777777" w:rsidR="00086873" w:rsidRPr="004F06F2" w:rsidRDefault="00086873" w:rsidP="00086873">
      <w:pPr>
        <w:spacing w:before="0" w:after="0"/>
        <w:rPr>
          <w:rFonts w:eastAsia="Calibri" w:cs="Times New Roman"/>
          <w:sz w:val="22"/>
          <w:szCs w:val="22"/>
        </w:rPr>
      </w:pPr>
    </w:p>
    <w:p w14:paraId="236399A4" w14:textId="77777777" w:rsidR="00086873" w:rsidRPr="004F06F2" w:rsidRDefault="00086873" w:rsidP="00086873">
      <w:pPr>
        <w:spacing w:before="0" w:after="0"/>
        <w:rPr>
          <w:rFonts w:eastAsia="Calibri" w:cs="Times New Roman"/>
          <w:sz w:val="22"/>
          <w:szCs w:val="22"/>
        </w:rPr>
      </w:pPr>
      <w:r w:rsidRPr="004F06F2">
        <w:rPr>
          <w:rFonts w:eastAsia="Calibri" w:cs="Times New Roman"/>
          <w:sz w:val="22"/>
          <w:szCs w:val="22"/>
        </w:rPr>
        <w:t>Se implementa el Presupuesto basado en Resultados (</w:t>
      </w:r>
      <w:proofErr w:type="spellStart"/>
      <w:r w:rsidRPr="004F06F2">
        <w:rPr>
          <w:rFonts w:eastAsia="Calibri" w:cs="Times New Roman"/>
          <w:sz w:val="22"/>
          <w:szCs w:val="22"/>
        </w:rPr>
        <w:t>PbR</w:t>
      </w:r>
      <w:proofErr w:type="spellEnd"/>
      <w:r w:rsidRPr="004F06F2">
        <w:rPr>
          <w:rFonts w:eastAsia="Calibri" w:cs="Times New Roman"/>
          <w:sz w:val="22"/>
          <w:szCs w:val="22"/>
        </w:rPr>
        <w:t>) de una manera gradual y sostenible, con la finalidad de evaluar las políticas públicas, los programas presupuestarios y el desempeño de las dependencias.</w:t>
      </w:r>
    </w:p>
    <w:p w14:paraId="3F09EEB6" w14:textId="77777777" w:rsidR="00086873" w:rsidRPr="004F06F2" w:rsidRDefault="00086873" w:rsidP="00086873">
      <w:pPr>
        <w:spacing w:before="0" w:after="0"/>
        <w:rPr>
          <w:rFonts w:eastAsia="Calibri" w:cs="Times New Roman"/>
          <w:sz w:val="22"/>
          <w:szCs w:val="22"/>
        </w:rPr>
      </w:pPr>
    </w:p>
    <w:p w14:paraId="7B17968D" w14:textId="77777777" w:rsidR="00086873" w:rsidRPr="004F06F2" w:rsidRDefault="00086873" w:rsidP="00086873">
      <w:pPr>
        <w:spacing w:before="0" w:after="0"/>
        <w:rPr>
          <w:rFonts w:eastAsia="Calibri" w:cs="Times New Roman"/>
          <w:sz w:val="22"/>
          <w:szCs w:val="22"/>
        </w:rPr>
      </w:pPr>
      <w:r w:rsidRPr="004F06F2">
        <w:rPr>
          <w:rFonts w:eastAsia="Calibri" w:cs="Times New Roman"/>
          <w:sz w:val="22"/>
          <w:szCs w:val="22"/>
        </w:rPr>
        <w:t xml:space="preserve">El Presupuesto estatal se estructura de acuerdo a programas presupuestarios que responden a problemáticas plenamente identificadas y dirigidos a una población objetivo-definida. Cada uno de los programas diseñados cuenta con indicadores estratégicos y de gestión que permiten medir sus avances y son la base del Presupuesto basado en Resultados y el Sistema de Evaluación del Desempeño. </w:t>
      </w:r>
    </w:p>
    <w:p w14:paraId="52F7A8A4" w14:textId="77777777" w:rsidR="00086873" w:rsidRPr="004F06F2" w:rsidRDefault="00086873" w:rsidP="00086873">
      <w:pPr>
        <w:spacing w:before="0" w:after="0"/>
        <w:rPr>
          <w:rFonts w:eastAsia="Calibri" w:cs="Times New Roman"/>
          <w:sz w:val="22"/>
          <w:szCs w:val="22"/>
        </w:rPr>
      </w:pPr>
    </w:p>
    <w:p w14:paraId="020D7A84" w14:textId="77777777" w:rsidR="00086873" w:rsidRPr="004F06F2" w:rsidRDefault="00086873" w:rsidP="00086873">
      <w:pPr>
        <w:spacing w:before="0" w:after="0"/>
        <w:rPr>
          <w:rFonts w:eastAsia="Calibri" w:cs="Times New Roman"/>
          <w:sz w:val="22"/>
          <w:szCs w:val="22"/>
        </w:rPr>
      </w:pPr>
      <w:r w:rsidRPr="004F06F2">
        <w:rPr>
          <w:rFonts w:eastAsia="Calibri" w:cs="Times New Roman"/>
          <w:sz w:val="22"/>
          <w:szCs w:val="22"/>
        </w:rPr>
        <w:t xml:space="preserve">El Sistema de Evaluación de Desempeño (SED) como elemento central del funcionamiento del PBR, está compuesto por un conjunto de procesos mediante </w:t>
      </w:r>
      <w:r w:rsidRPr="004F06F2">
        <w:rPr>
          <w:rFonts w:eastAsia="Calibri" w:cs="Times New Roman"/>
          <w:sz w:val="22"/>
          <w:szCs w:val="22"/>
        </w:rPr>
        <w:lastRenderedPageBreak/>
        <w:t>los que se realiza el seguimiento y la evaluación sistemática de las políticas y los programas de las entidades y dependencias para contribuir a la consecución de los objetivos establecidos en los Planes Nacional y Estatal de Desarrollo y los programas que se derivan de estos.</w:t>
      </w:r>
    </w:p>
    <w:p w14:paraId="5A21D2BF" w14:textId="77777777" w:rsidR="00086873" w:rsidRPr="004F06F2" w:rsidRDefault="00086873" w:rsidP="00086873">
      <w:pPr>
        <w:spacing w:before="0" w:after="0"/>
        <w:rPr>
          <w:rFonts w:eastAsia="Calibri" w:cs="Times New Roman"/>
          <w:sz w:val="22"/>
          <w:szCs w:val="22"/>
        </w:rPr>
      </w:pPr>
    </w:p>
    <w:p w14:paraId="5E9EDD74" w14:textId="77777777" w:rsidR="00086873" w:rsidRPr="004F06F2" w:rsidRDefault="00086873" w:rsidP="00086873">
      <w:pPr>
        <w:spacing w:before="0" w:after="0"/>
        <w:rPr>
          <w:rFonts w:eastAsia="Calibri" w:cs="Times New Roman"/>
          <w:sz w:val="22"/>
          <w:szCs w:val="22"/>
        </w:rPr>
      </w:pPr>
      <w:r w:rsidRPr="004F06F2">
        <w:rPr>
          <w:rFonts w:eastAsia="Calibri" w:cs="Times New Roman"/>
          <w:sz w:val="22"/>
          <w:szCs w:val="22"/>
        </w:rPr>
        <w:t>En este sentido, se incluye un Sistema de Indicadores Estratégicos que permitirá observar con toda claridad, el avance y cumplimiento de los objetivos planteados, mediante el monitoreo de las metas establecidas y los resultados alcanzados en cada uno de los citados indicadores.</w:t>
      </w:r>
    </w:p>
    <w:p w14:paraId="0FA2837C" w14:textId="77777777" w:rsidR="00086873" w:rsidRPr="004F06F2" w:rsidRDefault="00086873" w:rsidP="00086873">
      <w:pPr>
        <w:spacing w:before="0" w:after="0"/>
        <w:rPr>
          <w:rFonts w:eastAsia="Calibri" w:cs="Times New Roman"/>
          <w:sz w:val="22"/>
          <w:szCs w:val="22"/>
        </w:rPr>
      </w:pPr>
    </w:p>
    <w:p w14:paraId="689AE571" w14:textId="77777777" w:rsidR="00086873" w:rsidRPr="004F06F2" w:rsidRDefault="00086873" w:rsidP="00086873">
      <w:pPr>
        <w:spacing w:before="0" w:after="0"/>
        <w:rPr>
          <w:rFonts w:eastAsia="Calibri" w:cs="Times New Roman"/>
          <w:sz w:val="22"/>
          <w:szCs w:val="22"/>
        </w:rPr>
      </w:pPr>
      <w:r w:rsidRPr="004F06F2">
        <w:rPr>
          <w:rFonts w:eastAsia="Calibri" w:cs="Times New Roman"/>
          <w:sz w:val="22"/>
          <w:szCs w:val="22"/>
        </w:rPr>
        <w:t>La adecuada ejecución de estos planes coadyuva a que el Estado se convierta en el centro de desarrollo que permita mejorar la calidad de vida y transforme a Michoacán en el mejor lugar.</w:t>
      </w:r>
    </w:p>
    <w:p w14:paraId="1960FF23" w14:textId="77777777" w:rsidR="00086873" w:rsidRPr="004F06F2" w:rsidRDefault="00086873" w:rsidP="00086873">
      <w:pPr>
        <w:spacing w:before="0" w:after="0"/>
        <w:rPr>
          <w:rFonts w:eastAsia="Calibri" w:cs="Times New Roman"/>
          <w:sz w:val="22"/>
          <w:szCs w:val="22"/>
        </w:rPr>
      </w:pPr>
    </w:p>
    <w:p w14:paraId="3928A873" w14:textId="77777777" w:rsidR="00086873" w:rsidRPr="004F06F2" w:rsidRDefault="00086873" w:rsidP="00086873">
      <w:pPr>
        <w:spacing w:before="0" w:after="0"/>
        <w:rPr>
          <w:rFonts w:eastAsia="Calibri" w:cs="Times New Roman"/>
          <w:sz w:val="22"/>
          <w:szCs w:val="22"/>
        </w:rPr>
      </w:pPr>
      <w:r w:rsidRPr="004F06F2">
        <w:rPr>
          <w:rFonts w:eastAsia="Calibri" w:cs="Times New Roman"/>
          <w:sz w:val="22"/>
          <w:szCs w:val="22"/>
        </w:rPr>
        <w:t>El seguimiento a las metas y objetivos se encuentra detallado en la Matriz de Indicadores para Resultados así como el seguimiento del Análisis Programático Presupuestario que se encuentra publicado en la página de la Secretaría de Finanzas y Administración.</w:t>
      </w:r>
    </w:p>
    <w:p w14:paraId="2FFC0D91" w14:textId="77777777" w:rsidR="006131F6" w:rsidRPr="004F06F2" w:rsidRDefault="006131F6" w:rsidP="00AB5EE6">
      <w:pPr>
        <w:spacing w:before="0" w:after="0"/>
        <w:rPr>
          <w:rFonts w:eastAsia="Calibri" w:cs="Times New Roman"/>
          <w:b/>
          <w:sz w:val="22"/>
          <w:szCs w:val="22"/>
        </w:rPr>
      </w:pPr>
    </w:p>
    <w:p w14:paraId="30EFB23F" w14:textId="626D8222" w:rsidR="00BD4F6A" w:rsidRPr="004F06F2" w:rsidRDefault="00BD4F6A" w:rsidP="00AB5EE6">
      <w:pPr>
        <w:spacing w:before="0" w:after="0"/>
        <w:rPr>
          <w:rFonts w:eastAsia="Calibri" w:cs="Times New Roman"/>
          <w:b/>
          <w:sz w:val="22"/>
          <w:szCs w:val="22"/>
        </w:rPr>
      </w:pPr>
      <w:r w:rsidRPr="004F06F2">
        <w:rPr>
          <w:rFonts w:eastAsia="Calibri" w:cs="Times New Roman"/>
          <w:b/>
          <w:sz w:val="22"/>
          <w:szCs w:val="22"/>
        </w:rPr>
        <w:t>1</w:t>
      </w:r>
      <w:r w:rsidR="00C85D46" w:rsidRPr="004F06F2">
        <w:rPr>
          <w:rFonts w:eastAsia="Calibri" w:cs="Times New Roman"/>
          <w:b/>
          <w:sz w:val="22"/>
          <w:szCs w:val="22"/>
        </w:rPr>
        <w:t>3</w:t>
      </w:r>
      <w:r w:rsidRPr="004F06F2">
        <w:rPr>
          <w:rFonts w:eastAsia="Calibri" w:cs="Times New Roman"/>
          <w:b/>
          <w:sz w:val="22"/>
          <w:szCs w:val="22"/>
        </w:rPr>
        <w:t>. Información por segmentos</w:t>
      </w:r>
    </w:p>
    <w:p w14:paraId="7695E30A" w14:textId="77777777" w:rsidR="00BD4F6A" w:rsidRPr="004F06F2" w:rsidRDefault="00BD4F6A" w:rsidP="00AB5EE6">
      <w:pPr>
        <w:spacing w:before="0" w:after="0"/>
        <w:rPr>
          <w:rFonts w:eastAsia="Calibri" w:cs="Times New Roman"/>
          <w:b/>
          <w:sz w:val="22"/>
          <w:szCs w:val="22"/>
        </w:rPr>
      </w:pPr>
      <w:r w:rsidRPr="004F06F2">
        <w:rPr>
          <w:rFonts w:eastAsia="Calibri" w:cs="Times New Roman"/>
          <w:bCs/>
          <w:sz w:val="22"/>
          <w:szCs w:val="22"/>
        </w:rPr>
        <w:t>Para el periodo que se reporta, no existe información referente a segmentos por revelar.</w:t>
      </w:r>
    </w:p>
    <w:p w14:paraId="6F33F3C3" w14:textId="77777777" w:rsidR="00BD4F6A" w:rsidRPr="004F06F2" w:rsidRDefault="00BD4F6A" w:rsidP="00AB5EE6">
      <w:pPr>
        <w:spacing w:before="0" w:after="0"/>
        <w:rPr>
          <w:rFonts w:eastAsia="Calibri" w:cs="Times New Roman"/>
          <w:b/>
          <w:sz w:val="22"/>
          <w:szCs w:val="22"/>
        </w:rPr>
      </w:pPr>
    </w:p>
    <w:p w14:paraId="371B66DE" w14:textId="39B3A2E3" w:rsidR="00BD4F6A" w:rsidRPr="004F06F2" w:rsidRDefault="00BD4F6A" w:rsidP="00AB5EE6">
      <w:pPr>
        <w:spacing w:before="0" w:after="0"/>
        <w:rPr>
          <w:rFonts w:eastAsia="Calibri" w:cs="Times New Roman"/>
          <w:b/>
          <w:sz w:val="22"/>
          <w:szCs w:val="22"/>
        </w:rPr>
      </w:pPr>
      <w:r w:rsidRPr="004F06F2">
        <w:rPr>
          <w:rFonts w:eastAsia="Calibri" w:cs="Times New Roman"/>
          <w:b/>
          <w:sz w:val="22"/>
          <w:szCs w:val="22"/>
        </w:rPr>
        <w:t>1</w:t>
      </w:r>
      <w:r w:rsidR="00C85D46" w:rsidRPr="004F06F2">
        <w:rPr>
          <w:rFonts w:eastAsia="Calibri" w:cs="Times New Roman"/>
          <w:b/>
          <w:sz w:val="22"/>
          <w:szCs w:val="22"/>
        </w:rPr>
        <w:t>4</w:t>
      </w:r>
      <w:r w:rsidRPr="004F06F2">
        <w:rPr>
          <w:rFonts w:eastAsia="Calibri" w:cs="Times New Roman"/>
          <w:b/>
          <w:sz w:val="22"/>
          <w:szCs w:val="22"/>
        </w:rPr>
        <w:t>. Eventos Posteriores al Cierre</w:t>
      </w:r>
    </w:p>
    <w:p w14:paraId="31462333" w14:textId="77777777" w:rsidR="00BD4F6A" w:rsidRPr="004F06F2" w:rsidRDefault="00BD4F6A" w:rsidP="00AB5EE6">
      <w:pPr>
        <w:spacing w:before="0" w:after="0"/>
        <w:rPr>
          <w:rFonts w:eastAsia="Calibri" w:cs="Times New Roman"/>
          <w:bCs/>
          <w:sz w:val="22"/>
          <w:szCs w:val="22"/>
        </w:rPr>
      </w:pPr>
      <w:r w:rsidRPr="004F06F2">
        <w:rPr>
          <w:rFonts w:eastAsia="Calibri" w:cs="Times New Roman"/>
          <w:bCs/>
          <w:sz w:val="22"/>
          <w:szCs w:val="22"/>
        </w:rPr>
        <w:t>El Gobierno del Estado de Michoacán no reconoce eventos posteriores al cierre que de manera significativa puedan afectar de manera económica, las cifras que se presentan en el presente informe.</w:t>
      </w:r>
    </w:p>
    <w:p w14:paraId="757C8B0F" w14:textId="77777777" w:rsidR="0077166D" w:rsidRPr="004F06F2" w:rsidRDefault="0077166D" w:rsidP="00AB5EE6">
      <w:pPr>
        <w:spacing w:before="0" w:after="0"/>
        <w:rPr>
          <w:rFonts w:eastAsia="Calibri" w:cs="Times New Roman"/>
          <w:b/>
          <w:sz w:val="22"/>
          <w:szCs w:val="22"/>
        </w:rPr>
      </w:pPr>
    </w:p>
    <w:p w14:paraId="0CED7994" w14:textId="45EFAF37" w:rsidR="00BD4F6A" w:rsidRPr="004F06F2" w:rsidRDefault="00BD4F6A" w:rsidP="00AB5EE6">
      <w:pPr>
        <w:spacing w:before="0" w:after="0"/>
        <w:rPr>
          <w:rFonts w:eastAsia="Calibri" w:cs="Times New Roman"/>
          <w:b/>
          <w:sz w:val="22"/>
          <w:szCs w:val="22"/>
        </w:rPr>
      </w:pPr>
      <w:r w:rsidRPr="004F06F2">
        <w:rPr>
          <w:rFonts w:eastAsia="Calibri" w:cs="Times New Roman"/>
          <w:b/>
          <w:sz w:val="22"/>
          <w:szCs w:val="22"/>
        </w:rPr>
        <w:t>1</w:t>
      </w:r>
      <w:r w:rsidR="00C85D46" w:rsidRPr="004F06F2">
        <w:rPr>
          <w:rFonts w:eastAsia="Calibri" w:cs="Times New Roman"/>
          <w:b/>
          <w:sz w:val="22"/>
          <w:szCs w:val="22"/>
        </w:rPr>
        <w:t>5</w:t>
      </w:r>
      <w:r w:rsidRPr="004F06F2">
        <w:rPr>
          <w:rFonts w:eastAsia="Calibri" w:cs="Times New Roman"/>
          <w:b/>
          <w:sz w:val="22"/>
          <w:szCs w:val="22"/>
        </w:rPr>
        <w:t>.</w:t>
      </w:r>
      <w:r w:rsidRPr="004F06F2">
        <w:rPr>
          <w:rFonts w:eastAsia="Calibri" w:cs="Times New Roman"/>
          <w:b/>
          <w:sz w:val="22"/>
          <w:szCs w:val="22"/>
        </w:rPr>
        <w:tab/>
        <w:t>Partes Relacionadas</w:t>
      </w:r>
    </w:p>
    <w:p w14:paraId="66BC99FE" w14:textId="77777777" w:rsidR="00BD4F6A" w:rsidRPr="004F06F2" w:rsidRDefault="00BD4F6A" w:rsidP="00AB5EE6">
      <w:pPr>
        <w:spacing w:before="0" w:after="0"/>
        <w:rPr>
          <w:rFonts w:eastAsia="Calibri" w:cs="Times New Roman"/>
          <w:color w:val="000000"/>
          <w:sz w:val="22"/>
          <w:szCs w:val="22"/>
        </w:rPr>
      </w:pPr>
      <w:r w:rsidRPr="004F06F2">
        <w:rPr>
          <w:rFonts w:eastAsia="Calibri" w:cs="Times New Roman"/>
          <w:color w:val="000000"/>
          <w:sz w:val="22"/>
          <w:szCs w:val="22"/>
        </w:rPr>
        <w:t>No existen partes relacionadas que pudieran ejercer influencia significativa en la toma de decisiones financieras y operativas.</w:t>
      </w:r>
    </w:p>
    <w:p w14:paraId="6401E5E5" w14:textId="77777777" w:rsidR="00BC4F29" w:rsidRPr="004F06F2" w:rsidRDefault="00BC4F29" w:rsidP="00AB5EE6">
      <w:pPr>
        <w:spacing w:before="0" w:after="0"/>
        <w:rPr>
          <w:rFonts w:eastAsia="Calibri" w:cs="Times New Roman"/>
          <w:color w:val="000000"/>
          <w:sz w:val="22"/>
          <w:szCs w:val="22"/>
        </w:rPr>
      </w:pPr>
    </w:p>
    <w:p w14:paraId="1AB6DD4D" w14:textId="2F8031C4" w:rsidR="00BD4F6A" w:rsidRPr="004F06F2" w:rsidRDefault="00BD4F6A" w:rsidP="00AB5EE6">
      <w:pPr>
        <w:spacing w:before="0" w:after="0"/>
        <w:rPr>
          <w:rFonts w:eastAsia="Calibri" w:cs="Times New Roman"/>
          <w:color w:val="000000"/>
          <w:sz w:val="22"/>
          <w:szCs w:val="22"/>
        </w:rPr>
      </w:pPr>
      <w:r w:rsidRPr="004F06F2">
        <w:rPr>
          <w:rFonts w:eastAsia="Calibri" w:cs="Times New Roman"/>
          <w:color w:val="000000"/>
          <w:sz w:val="22"/>
          <w:szCs w:val="22"/>
        </w:rPr>
        <w:t>Lo anterior, se refiere a que no existen entes o personas que tengan la capacidad de controlar o ejercer dicha influencia en la Administración Pública del Gobierno del Estado de Michoacán.</w:t>
      </w:r>
    </w:p>
    <w:p w14:paraId="034F2676" w14:textId="77777777" w:rsidR="007E1CED" w:rsidRPr="004F06F2" w:rsidRDefault="007E1CED" w:rsidP="00AB5EE6">
      <w:pPr>
        <w:spacing w:before="0" w:after="0"/>
        <w:rPr>
          <w:rFonts w:eastAsia="Calibri" w:cs="Times New Roman"/>
          <w:b/>
          <w:bCs/>
          <w:color w:val="000000"/>
          <w:sz w:val="22"/>
          <w:szCs w:val="22"/>
        </w:rPr>
      </w:pPr>
    </w:p>
    <w:p w14:paraId="6E2EC7FA" w14:textId="7172147E" w:rsidR="00BD4F6A" w:rsidRPr="004F06F2" w:rsidRDefault="00BD4F6A" w:rsidP="00AB5EE6">
      <w:pPr>
        <w:spacing w:before="0" w:after="0"/>
        <w:rPr>
          <w:rFonts w:eastAsia="Calibri" w:cs="Times New Roman"/>
          <w:b/>
          <w:bCs/>
          <w:color w:val="000000"/>
          <w:sz w:val="22"/>
          <w:szCs w:val="22"/>
        </w:rPr>
      </w:pPr>
      <w:r w:rsidRPr="004F06F2">
        <w:rPr>
          <w:rFonts w:eastAsia="Calibri" w:cs="Times New Roman"/>
          <w:b/>
          <w:bCs/>
          <w:color w:val="000000"/>
          <w:sz w:val="22"/>
          <w:szCs w:val="22"/>
        </w:rPr>
        <w:t>1</w:t>
      </w:r>
      <w:r w:rsidR="00C85D46" w:rsidRPr="004F06F2">
        <w:rPr>
          <w:rFonts w:eastAsia="Calibri" w:cs="Times New Roman"/>
          <w:b/>
          <w:bCs/>
          <w:color w:val="000000"/>
          <w:sz w:val="22"/>
          <w:szCs w:val="22"/>
        </w:rPr>
        <w:t>6</w:t>
      </w:r>
      <w:r w:rsidRPr="004F06F2">
        <w:rPr>
          <w:rFonts w:eastAsia="Calibri" w:cs="Times New Roman"/>
          <w:b/>
          <w:bCs/>
          <w:color w:val="000000"/>
          <w:sz w:val="22"/>
          <w:szCs w:val="22"/>
        </w:rPr>
        <w:t>. Responsabilidad sobre la presentación razonable de la información contable</w:t>
      </w:r>
    </w:p>
    <w:p w14:paraId="7A4B649E" w14:textId="77777777" w:rsidR="00BD4F6A" w:rsidRPr="004F06F2" w:rsidRDefault="00BD4F6A" w:rsidP="00AB5EE6">
      <w:pPr>
        <w:spacing w:before="0" w:after="0"/>
        <w:rPr>
          <w:rFonts w:eastAsia="Calibri" w:cs="Times New Roman"/>
          <w:color w:val="000000"/>
          <w:sz w:val="22"/>
          <w:szCs w:val="22"/>
        </w:rPr>
      </w:pPr>
      <w:r w:rsidRPr="004F06F2">
        <w:rPr>
          <w:rFonts w:eastAsia="Calibri" w:cs="Times New Roman"/>
          <w:color w:val="000000"/>
          <w:sz w:val="22"/>
          <w:szCs w:val="22"/>
        </w:rPr>
        <w:t>Los Estados Financieros contables están firmados al calce, bajo protesta de decir verdad, declarando que estos y sus notas son razonablemente correctos y son responsabilidad del emisor.</w:t>
      </w:r>
    </w:p>
    <w:p w14:paraId="5F3663CE" w14:textId="77777777" w:rsidR="00DC616B" w:rsidRPr="004F06F2" w:rsidRDefault="00DC616B" w:rsidP="00AB5EE6">
      <w:pPr>
        <w:spacing w:before="0" w:after="0"/>
        <w:jc w:val="center"/>
        <w:rPr>
          <w:rFonts w:eastAsia="Calibri" w:cs="Times New Roman"/>
          <w:b/>
          <w:sz w:val="28"/>
          <w:szCs w:val="28"/>
        </w:rPr>
      </w:pPr>
    </w:p>
    <w:p w14:paraId="48A3FC6B" w14:textId="6B6FFD06" w:rsidR="00B82D70" w:rsidRPr="004F06F2" w:rsidRDefault="00BD4F6A" w:rsidP="00AB5EE6">
      <w:pPr>
        <w:spacing w:before="0" w:after="0"/>
        <w:jc w:val="center"/>
        <w:rPr>
          <w:rFonts w:eastAsia="Calibri" w:cs="Times New Roman"/>
          <w:b/>
          <w:sz w:val="28"/>
          <w:szCs w:val="28"/>
        </w:rPr>
      </w:pPr>
      <w:r w:rsidRPr="004F06F2">
        <w:rPr>
          <w:rFonts w:eastAsia="Calibri" w:cs="Times New Roman"/>
          <w:b/>
          <w:sz w:val="28"/>
          <w:szCs w:val="28"/>
        </w:rPr>
        <w:t xml:space="preserve">b) </w:t>
      </w:r>
      <w:r w:rsidR="00B82D70" w:rsidRPr="004F06F2">
        <w:rPr>
          <w:rFonts w:eastAsia="Calibri" w:cs="Times New Roman"/>
          <w:b/>
          <w:sz w:val="28"/>
          <w:szCs w:val="28"/>
        </w:rPr>
        <w:t>NOTAS DE DESGLOSE</w:t>
      </w:r>
    </w:p>
    <w:p w14:paraId="210F2B49" w14:textId="77777777" w:rsidR="00327653" w:rsidRPr="004F06F2" w:rsidRDefault="00327653" w:rsidP="00AB5EE6">
      <w:pPr>
        <w:widowControl w:val="0"/>
        <w:spacing w:before="0" w:after="0"/>
        <w:jc w:val="left"/>
        <w:rPr>
          <w:rFonts w:eastAsia="Calibri" w:cs="Times New Roman"/>
          <w:b/>
        </w:rPr>
      </w:pPr>
    </w:p>
    <w:p w14:paraId="1EB2E8BE" w14:textId="51B17CD7" w:rsidR="009627F2" w:rsidRPr="004F06F2" w:rsidRDefault="009627F2" w:rsidP="00AB5EE6">
      <w:pPr>
        <w:widowControl w:val="0"/>
        <w:spacing w:before="0" w:after="0"/>
        <w:jc w:val="left"/>
        <w:rPr>
          <w:rFonts w:eastAsia="Calibri" w:cs="Times New Roman"/>
          <w:b/>
          <w:sz w:val="28"/>
          <w:szCs w:val="28"/>
        </w:rPr>
      </w:pPr>
      <w:r w:rsidRPr="004F06F2">
        <w:rPr>
          <w:rFonts w:eastAsia="Calibri" w:cs="Times New Roman"/>
          <w:b/>
        </w:rPr>
        <w:t>I). NOTAS AL ESTADO DE ACTIVIDADES</w:t>
      </w:r>
    </w:p>
    <w:p w14:paraId="50977EFD" w14:textId="77777777" w:rsidR="009627F2" w:rsidRPr="004F06F2" w:rsidRDefault="009627F2" w:rsidP="00AB5EE6">
      <w:pPr>
        <w:spacing w:before="0" w:after="0"/>
        <w:rPr>
          <w:rFonts w:eastAsia="Calibri" w:cs="Times New Roman"/>
          <w:color w:val="000000"/>
          <w:sz w:val="22"/>
          <w:szCs w:val="22"/>
        </w:rPr>
      </w:pPr>
    </w:p>
    <w:p w14:paraId="5EEF9211" w14:textId="614E6C6F" w:rsidR="009627F2" w:rsidRPr="004F06F2" w:rsidRDefault="009627F2" w:rsidP="00AB5EE6">
      <w:pPr>
        <w:spacing w:before="0" w:after="0"/>
        <w:rPr>
          <w:rFonts w:eastAsia="Calibri" w:cs="Times New Roman"/>
          <w:color w:val="000000"/>
          <w:sz w:val="22"/>
          <w:szCs w:val="22"/>
        </w:rPr>
      </w:pPr>
      <w:r w:rsidRPr="004F06F2">
        <w:rPr>
          <w:rFonts w:eastAsia="Calibri" w:cs="Times New Roman"/>
          <w:color w:val="000000"/>
          <w:sz w:val="22"/>
          <w:szCs w:val="22"/>
        </w:rPr>
        <w:t xml:space="preserve">Este estado financiero, muestra dos grandes agregados representados por los </w:t>
      </w:r>
      <w:r w:rsidRPr="004F06F2">
        <w:rPr>
          <w:rFonts w:eastAsia="Calibri" w:cs="Times New Roman"/>
          <w:b/>
          <w:color w:val="000000"/>
          <w:sz w:val="22"/>
          <w:szCs w:val="22"/>
        </w:rPr>
        <w:t>ingresos y otros beneficios</w:t>
      </w:r>
      <w:r w:rsidRPr="004F06F2">
        <w:rPr>
          <w:rFonts w:eastAsia="Calibri" w:cs="Times New Roman"/>
          <w:color w:val="000000"/>
          <w:sz w:val="22"/>
          <w:szCs w:val="22"/>
        </w:rPr>
        <w:t xml:space="preserve">, así como los </w:t>
      </w:r>
      <w:r w:rsidRPr="004F06F2">
        <w:rPr>
          <w:rFonts w:eastAsia="Calibri" w:cs="Times New Roman"/>
          <w:b/>
          <w:color w:val="000000"/>
          <w:sz w:val="22"/>
          <w:szCs w:val="22"/>
        </w:rPr>
        <w:t>gastos y otras pérdidas</w:t>
      </w:r>
      <w:r w:rsidRPr="004F06F2">
        <w:rPr>
          <w:rFonts w:eastAsia="Calibri" w:cs="Times New Roman"/>
          <w:color w:val="000000"/>
          <w:sz w:val="22"/>
          <w:szCs w:val="22"/>
        </w:rPr>
        <w:t>, mostrando los conceptos del ingreso y los gastos con los conceptos de los Clasificadores por Rubros de Ingresos y por Objeto del Gasto, de acuerdo a la Ley de Ingresos del Estado de Michoacán de Ocampo para el ejercicio fiscal 202</w:t>
      </w:r>
      <w:r w:rsidR="00902E03" w:rsidRPr="004F06F2">
        <w:rPr>
          <w:rFonts w:eastAsia="Calibri" w:cs="Times New Roman"/>
          <w:color w:val="000000"/>
          <w:sz w:val="22"/>
          <w:szCs w:val="22"/>
        </w:rPr>
        <w:t>4</w:t>
      </w:r>
      <w:r w:rsidRPr="004F06F2">
        <w:rPr>
          <w:rFonts w:eastAsia="Calibri" w:cs="Times New Roman"/>
          <w:color w:val="000000"/>
          <w:sz w:val="22"/>
          <w:szCs w:val="22"/>
        </w:rPr>
        <w:t xml:space="preserve"> y al Decreto que contiene de Presupuesto de Egresos del Gobierno del Estado de Michoacán de Ocampo del mismo ejercicio; así mismo, permite determinar el resultado del ejercicio, el cual refleja un ahorro de </w:t>
      </w:r>
      <w:r w:rsidR="00902E03" w:rsidRPr="004F06F2">
        <w:rPr>
          <w:rFonts w:eastAsia="Calibri" w:cs="Times New Roman"/>
          <w:color w:val="000000"/>
          <w:sz w:val="22"/>
          <w:szCs w:val="22"/>
        </w:rPr>
        <w:t>5</w:t>
      </w:r>
      <w:r w:rsidRPr="004F06F2">
        <w:rPr>
          <w:rFonts w:eastAsia="Calibri" w:cs="Times New Roman"/>
          <w:color w:val="000000"/>
          <w:sz w:val="22"/>
          <w:szCs w:val="22"/>
        </w:rPr>
        <w:t xml:space="preserve"> mil </w:t>
      </w:r>
      <w:r w:rsidR="00902E03" w:rsidRPr="004F06F2">
        <w:rPr>
          <w:rFonts w:eastAsia="Calibri" w:cs="Times New Roman"/>
          <w:color w:val="000000"/>
          <w:sz w:val="22"/>
          <w:szCs w:val="22"/>
        </w:rPr>
        <w:t>941</w:t>
      </w:r>
      <w:r w:rsidRPr="004F06F2">
        <w:rPr>
          <w:rFonts w:eastAsia="Calibri" w:cs="Times New Roman"/>
          <w:color w:val="000000"/>
          <w:sz w:val="22"/>
          <w:szCs w:val="22"/>
        </w:rPr>
        <w:t xml:space="preserve"> millones </w:t>
      </w:r>
      <w:r w:rsidR="00902E03" w:rsidRPr="004F06F2">
        <w:rPr>
          <w:rFonts w:eastAsia="Calibri" w:cs="Times New Roman"/>
          <w:color w:val="000000"/>
          <w:sz w:val="22"/>
          <w:szCs w:val="22"/>
        </w:rPr>
        <w:t>563</w:t>
      </w:r>
      <w:r w:rsidRPr="004F06F2">
        <w:rPr>
          <w:rFonts w:eastAsia="Calibri" w:cs="Times New Roman"/>
          <w:color w:val="000000"/>
          <w:sz w:val="22"/>
          <w:szCs w:val="22"/>
        </w:rPr>
        <w:t xml:space="preserve"> mil </w:t>
      </w:r>
      <w:r w:rsidR="005A0E7E" w:rsidRPr="004F06F2">
        <w:rPr>
          <w:rFonts w:eastAsia="Calibri" w:cs="Times New Roman"/>
          <w:color w:val="000000"/>
          <w:sz w:val="22"/>
          <w:szCs w:val="22"/>
        </w:rPr>
        <w:t>8</w:t>
      </w:r>
      <w:r w:rsidR="00902E03" w:rsidRPr="004F06F2">
        <w:rPr>
          <w:rFonts w:eastAsia="Calibri" w:cs="Times New Roman"/>
          <w:color w:val="000000"/>
          <w:sz w:val="22"/>
          <w:szCs w:val="22"/>
        </w:rPr>
        <w:t>22</w:t>
      </w:r>
      <w:r w:rsidRPr="004F06F2">
        <w:rPr>
          <w:rFonts w:eastAsia="Calibri" w:cs="Times New Roman"/>
          <w:color w:val="000000"/>
          <w:sz w:val="22"/>
          <w:szCs w:val="22"/>
        </w:rPr>
        <w:t xml:space="preserve"> pesos.  </w:t>
      </w:r>
    </w:p>
    <w:p w14:paraId="27C36E12" w14:textId="77777777" w:rsidR="009627F2" w:rsidRPr="004F06F2" w:rsidRDefault="009627F2" w:rsidP="00AB5EE6">
      <w:pPr>
        <w:spacing w:before="0" w:after="0"/>
        <w:rPr>
          <w:rFonts w:eastAsia="Calibri" w:cs="Times New Roman"/>
          <w:color w:val="000000"/>
          <w:sz w:val="22"/>
          <w:szCs w:val="22"/>
        </w:rPr>
      </w:pPr>
    </w:p>
    <w:p w14:paraId="0F625E7E" w14:textId="079BD8CE" w:rsidR="009627F2" w:rsidRPr="004F06F2" w:rsidRDefault="009627F2" w:rsidP="00AB5EE6">
      <w:pPr>
        <w:spacing w:before="0" w:after="0"/>
        <w:rPr>
          <w:rFonts w:ascii="Arial" w:hAnsi="Arial" w:cs="Arial"/>
          <w:sz w:val="22"/>
          <w:szCs w:val="22"/>
        </w:rPr>
      </w:pPr>
      <w:r w:rsidRPr="004F06F2">
        <w:rPr>
          <w:rFonts w:eastAsia="Calibri" w:cs="Times New Roman"/>
          <w:color w:val="000000"/>
          <w:sz w:val="22"/>
          <w:szCs w:val="22"/>
        </w:rPr>
        <w:t xml:space="preserve">1. Los ingresos obtenidos al </w:t>
      </w:r>
      <w:r w:rsidR="00984C0D" w:rsidRPr="004F06F2">
        <w:rPr>
          <w:rFonts w:eastAsia="Calibri" w:cs="Times New Roman"/>
          <w:bCs/>
          <w:color w:val="000000"/>
          <w:sz w:val="22"/>
          <w:szCs w:val="22"/>
        </w:rPr>
        <w:t>primer</w:t>
      </w:r>
      <w:r w:rsidR="00F160BA" w:rsidRPr="004F06F2">
        <w:rPr>
          <w:rFonts w:eastAsia="Calibri" w:cs="Times New Roman"/>
          <w:color w:val="000000"/>
          <w:sz w:val="22"/>
          <w:szCs w:val="22"/>
        </w:rPr>
        <w:t xml:space="preserve"> trimestre</w:t>
      </w:r>
      <w:r w:rsidRPr="004F06F2">
        <w:rPr>
          <w:rFonts w:eastAsia="Calibri" w:cs="Times New Roman"/>
          <w:color w:val="000000"/>
          <w:sz w:val="22"/>
          <w:szCs w:val="22"/>
        </w:rPr>
        <w:t xml:space="preserve"> del </w:t>
      </w:r>
      <w:r w:rsidR="00B5409A" w:rsidRPr="004F06F2">
        <w:rPr>
          <w:rFonts w:eastAsia="Calibri" w:cs="Times New Roman"/>
          <w:color w:val="000000"/>
          <w:sz w:val="22"/>
          <w:szCs w:val="22"/>
        </w:rPr>
        <w:t>ejercicio fiscal</w:t>
      </w:r>
      <w:r w:rsidRPr="004F06F2">
        <w:rPr>
          <w:rFonts w:eastAsia="Calibri" w:cs="Times New Roman"/>
          <w:color w:val="000000"/>
          <w:sz w:val="22"/>
          <w:szCs w:val="22"/>
        </w:rPr>
        <w:t xml:space="preserve"> que se informa, ascienden a </w:t>
      </w:r>
      <w:r w:rsidR="00984C0D" w:rsidRPr="004F06F2">
        <w:rPr>
          <w:rFonts w:eastAsia="Calibri" w:cs="Times New Roman"/>
          <w:color w:val="000000"/>
          <w:sz w:val="22"/>
          <w:szCs w:val="22"/>
        </w:rPr>
        <w:t>26</w:t>
      </w:r>
      <w:r w:rsidRPr="004F06F2">
        <w:rPr>
          <w:rFonts w:eastAsia="Calibri" w:cs="Times New Roman"/>
          <w:color w:val="000000"/>
          <w:sz w:val="22"/>
          <w:szCs w:val="22"/>
        </w:rPr>
        <w:t xml:space="preserve"> mil </w:t>
      </w:r>
      <w:r w:rsidR="00984C0D" w:rsidRPr="004F06F2">
        <w:rPr>
          <w:rFonts w:eastAsia="Calibri" w:cs="Times New Roman"/>
          <w:color w:val="000000"/>
          <w:sz w:val="22"/>
          <w:szCs w:val="22"/>
        </w:rPr>
        <w:t>830</w:t>
      </w:r>
      <w:r w:rsidRPr="004F06F2">
        <w:rPr>
          <w:rFonts w:eastAsia="Calibri" w:cs="Times New Roman"/>
          <w:color w:val="000000"/>
          <w:sz w:val="22"/>
          <w:szCs w:val="22"/>
        </w:rPr>
        <w:t xml:space="preserve"> millones </w:t>
      </w:r>
      <w:r w:rsidR="00984C0D" w:rsidRPr="004F06F2">
        <w:rPr>
          <w:rFonts w:eastAsia="Calibri" w:cs="Times New Roman"/>
          <w:color w:val="000000"/>
          <w:sz w:val="22"/>
          <w:szCs w:val="22"/>
        </w:rPr>
        <w:t>867</w:t>
      </w:r>
      <w:r w:rsidRPr="004F06F2">
        <w:rPr>
          <w:rFonts w:eastAsia="Calibri" w:cs="Times New Roman"/>
          <w:color w:val="000000"/>
          <w:sz w:val="22"/>
          <w:szCs w:val="22"/>
        </w:rPr>
        <w:t xml:space="preserve"> mil </w:t>
      </w:r>
      <w:r w:rsidR="00984C0D" w:rsidRPr="004F06F2">
        <w:rPr>
          <w:rFonts w:eastAsia="Calibri" w:cs="Times New Roman"/>
          <w:color w:val="000000"/>
          <w:sz w:val="22"/>
          <w:szCs w:val="22"/>
        </w:rPr>
        <w:t>677</w:t>
      </w:r>
      <w:r w:rsidRPr="004F06F2">
        <w:rPr>
          <w:rFonts w:eastAsia="Calibri" w:cs="Times New Roman"/>
          <w:color w:val="000000"/>
          <w:sz w:val="22"/>
          <w:szCs w:val="22"/>
        </w:rPr>
        <w:t xml:space="preserve"> pesos, que se integran principalmente por participaciones, aportaciones, transferencias, asignaciones, subsidios y otras ayudas que representan el </w:t>
      </w:r>
      <w:r w:rsidR="009A3967" w:rsidRPr="004F06F2">
        <w:rPr>
          <w:rFonts w:eastAsia="Calibri" w:cs="Times New Roman"/>
          <w:color w:val="000000"/>
          <w:sz w:val="22"/>
          <w:szCs w:val="22"/>
        </w:rPr>
        <w:t>9</w:t>
      </w:r>
      <w:r w:rsidR="00984C0D" w:rsidRPr="004F06F2">
        <w:rPr>
          <w:rFonts w:eastAsia="Calibri" w:cs="Times New Roman"/>
          <w:color w:val="000000"/>
          <w:sz w:val="22"/>
          <w:szCs w:val="22"/>
        </w:rPr>
        <w:t>1</w:t>
      </w:r>
      <w:r w:rsidRPr="004F06F2">
        <w:rPr>
          <w:rFonts w:eastAsia="Calibri" w:cs="Times New Roman"/>
          <w:color w:val="000000"/>
          <w:sz w:val="22"/>
          <w:szCs w:val="22"/>
        </w:rPr>
        <w:t xml:space="preserve">% </w:t>
      </w:r>
      <w:r w:rsidRPr="004F06F2">
        <w:rPr>
          <w:rFonts w:eastAsia="Calibri" w:cs="Times New Roman"/>
          <w:sz w:val="22"/>
          <w:szCs w:val="22"/>
        </w:rPr>
        <w:t xml:space="preserve">así como ingresos de la gestión que representan el </w:t>
      </w:r>
      <w:r w:rsidR="00984C0D" w:rsidRPr="004F06F2">
        <w:rPr>
          <w:rFonts w:eastAsia="Calibri" w:cs="Times New Roman"/>
          <w:sz w:val="22"/>
          <w:szCs w:val="22"/>
        </w:rPr>
        <w:t>9</w:t>
      </w:r>
      <w:r w:rsidRPr="004F06F2">
        <w:rPr>
          <w:rFonts w:eastAsia="Calibri" w:cs="Times New Roman"/>
          <w:sz w:val="22"/>
          <w:szCs w:val="22"/>
        </w:rPr>
        <w:t>%, como se detalla a continuación:</w:t>
      </w:r>
      <w:r w:rsidRPr="004F06F2">
        <w:rPr>
          <w:rFonts w:ascii="Arial" w:hAnsi="Arial" w:cs="Arial"/>
          <w:sz w:val="22"/>
          <w:szCs w:val="22"/>
        </w:rPr>
        <w:t xml:space="preserve"> </w:t>
      </w:r>
    </w:p>
    <w:p w14:paraId="7A0D6667" w14:textId="781417DE" w:rsidR="009627F2" w:rsidRPr="004F06F2" w:rsidRDefault="00984C0D" w:rsidP="009627F2">
      <w:pPr>
        <w:spacing w:before="0" w:after="0"/>
        <w:jc w:val="center"/>
        <w:rPr>
          <w:rFonts w:eastAsia="Calibri" w:cs="Times New Roman"/>
          <w:b/>
          <w:color w:val="833C0B"/>
          <w:sz w:val="22"/>
          <w:szCs w:val="22"/>
        </w:rPr>
      </w:pPr>
      <w:r w:rsidRPr="004F06F2">
        <w:rPr>
          <w:noProof/>
          <w:lang w:val="es-MX" w:eastAsia="es-MX"/>
        </w:rPr>
        <w:drawing>
          <wp:inline distT="0" distB="0" distL="0" distR="0" wp14:anchorId="226818CA" wp14:editId="15D2B041">
            <wp:extent cx="6351270" cy="905788"/>
            <wp:effectExtent l="0" t="0" r="0" b="8890"/>
            <wp:docPr id="557262664" name="Imagen 557262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51270" cy="905788"/>
                    </a:xfrm>
                    <a:prstGeom prst="rect">
                      <a:avLst/>
                    </a:prstGeom>
                    <a:noFill/>
                    <a:ln>
                      <a:noFill/>
                    </a:ln>
                  </pic:spPr>
                </pic:pic>
              </a:graphicData>
            </a:graphic>
          </wp:inline>
        </w:drawing>
      </w:r>
    </w:p>
    <w:p w14:paraId="7FE2CD36" w14:textId="5D8FBECF" w:rsidR="009627F2" w:rsidRPr="004F06F2" w:rsidRDefault="009627F2" w:rsidP="009627F2">
      <w:r w:rsidRPr="004F06F2">
        <w:rPr>
          <w:rFonts w:eastAsia="Calibri" w:cs="Times New Roman"/>
          <w:sz w:val="22"/>
          <w:szCs w:val="22"/>
        </w:rPr>
        <w:t xml:space="preserve">En relación con los ingresos obtenidos, se encuentra en forma específica un análisis por concepto, en el apartado </w:t>
      </w:r>
      <w:r w:rsidRPr="004F06F2">
        <w:rPr>
          <w:b/>
          <w:bCs/>
        </w:rPr>
        <w:t xml:space="preserve">II.1.c ANALISIS DE INGRESOS, </w:t>
      </w:r>
      <w:r w:rsidRPr="004F06F2">
        <w:t>por lo que en este apartado se informa de manera general</w:t>
      </w:r>
      <w:r w:rsidR="00856DCE" w:rsidRPr="004F06F2">
        <w:t>.</w:t>
      </w:r>
    </w:p>
    <w:p w14:paraId="460471D2" w14:textId="47050D1A" w:rsidR="00C5044A" w:rsidRPr="004F06F2" w:rsidRDefault="00C5044A" w:rsidP="009627F2">
      <w:pPr>
        <w:rPr>
          <w:b/>
          <w:bCs/>
        </w:rPr>
      </w:pPr>
    </w:p>
    <w:p w14:paraId="613B5391" w14:textId="15D03212" w:rsidR="009627F2" w:rsidRPr="004F06F2" w:rsidRDefault="009627F2" w:rsidP="009627F2">
      <w:pPr>
        <w:rPr>
          <w:b/>
          <w:bCs/>
        </w:rPr>
      </w:pPr>
      <w:r w:rsidRPr="004F06F2">
        <w:rPr>
          <w:b/>
          <w:bCs/>
        </w:rPr>
        <w:t>- INGRESOS DE GESTIÓN</w:t>
      </w:r>
    </w:p>
    <w:p w14:paraId="3C01DA29" w14:textId="35862ECC" w:rsidR="009627F2" w:rsidRPr="004F06F2" w:rsidRDefault="009627F2" w:rsidP="009627F2">
      <w:r w:rsidRPr="004F06F2">
        <w:lastRenderedPageBreak/>
        <w:t xml:space="preserve">Los rubros de impuestos, cuotas y aportaciones de seguridad social, contribuciones de mejoras, derechos, productos, aprovechamientos y de ingresos por ventas de bienes y prestación de servicios, los cuales están armonizados en los rubros del Clasificador por Rubro de Ingresos (CRI), se informan los montos totales obtenidos por </w:t>
      </w:r>
      <w:r w:rsidR="00984C0D" w:rsidRPr="004F06F2">
        <w:t>2</w:t>
      </w:r>
      <w:r w:rsidRPr="004F06F2">
        <w:t xml:space="preserve"> mil </w:t>
      </w:r>
      <w:r w:rsidR="00984C0D" w:rsidRPr="004F06F2">
        <w:t>423</w:t>
      </w:r>
      <w:r w:rsidRPr="004F06F2">
        <w:t xml:space="preserve"> millones </w:t>
      </w:r>
      <w:r w:rsidR="00984C0D" w:rsidRPr="004F06F2">
        <w:t>57</w:t>
      </w:r>
      <w:r w:rsidRPr="004F06F2">
        <w:t xml:space="preserve"> mil </w:t>
      </w:r>
      <w:r w:rsidR="00984C0D" w:rsidRPr="004F06F2">
        <w:t>588</w:t>
      </w:r>
      <w:r w:rsidRPr="004F06F2">
        <w:t xml:space="preserve"> pesos, como sigue:</w:t>
      </w:r>
    </w:p>
    <w:p w14:paraId="2E1B33BB" w14:textId="310205D7" w:rsidR="009627F2" w:rsidRPr="004F06F2" w:rsidRDefault="00984C0D" w:rsidP="009627F2">
      <w:pPr>
        <w:rPr>
          <w:rFonts w:eastAsia="Calibri" w:cs="Times New Roman"/>
          <w:sz w:val="22"/>
          <w:szCs w:val="22"/>
        </w:rPr>
      </w:pPr>
      <w:r w:rsidRPr="004F06F2">
        <w:rPr>
          <w:noProof/>
          <w:lang w:val="es-MX" w:eastAsia="es-MX"/>
        </w:rPr>
        <w:drawing>
          <wp:inline distT="0" distB="0" distL="0" distR="0" wp14:anchorId="5F28D5AA" wp14:editId="5A0B3576">
            <wp:extent cx="6351270" cy="1121698"/>
            <wp:effectExtent l="0" t="0" r="0" b="2540"/>
            <wp:docPr id="557262665" name="Imagen 557262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51270" cy="1121698"/>
                    </a:xfrm>
                    <a:prstGeom prst="rect">
                      <a:avLst/>
                    </a:prstGeom>
                    <a:noFill/>
                    <a:ln>
                      <a:noFill/>
                    </a:ln>
                  </pic:spPr>
                </pic:pic>
              </a:graphicData>
            </a:graphic>
          </wp:inline>
        </w:drawing>
      </w:r>
    </w:p>
    <w:p w14:paraId="649C68CB" w14:textId="5FB15284" w:rsidR="009627F2" w:rsidRPr="004F06F2" w:rsidRDefault="009627F2" w:rsidP="009627F2">
      <w:pPr>
        <w:rPr>
          <w:b/>
          <w:bCs/>
        </w:rPr>
      </w:pPr>
      <w:r w:rsidRPr="004F06F2">
        <w:rPr>
          <w:b/>
          <w:bCs/>
        </w:rPr>
        <w:t>- PARTICIPACIONES, APORTACIONES, CONVENIOS, INCENTIVOS DERIVADOS DE LA COLABORACIÓN FISCAL, FONDOS DISTINTOS DE APORTACIONES, TRANSFERENCIAS, ASIGNACIONES, SUBSIDIOS Y SUBVENCIONES, Y PENSIONES Y JUBILACIONES.</w:t>
      </w:r>
    </w:p>
    <w:p w14:paraId="79A89761" w14:textId="706E563B" w:rsidR="009627F2" w:rsidRPr="004F06F2" w:rsidRDefault="009627F2" w:rsidP="009627F2">
      <w:r w:rsidRPr="004F06F2">
        <w:rPr>
          <w:rFonts w:eastAsia="Calibri" w:cs="Times New Roman"/>
          <w:color w:val="000000"/>
          <w:sz w:val="22"/>
          <w:szCs w:val="22"/>
        </w:rPr>
        <w:t xml:space="preserve">De los rubros de participaciones, aportaciones, convenios, incentivos derivados de la colaboración fiscal, fondos distintos de aportaciones, transferencias, asignaciones, subsidios y subvenciones; y pensiones y jubilaciones, </w:t>
      </w:r>
      <w:r w:rsidRPr="004F06F2">
        <w:t xml:space="preserve">están armonizados en los rubros del Clasificador por Rubro de Ingresos (CRI), se informan los montos totales obtenidos por </w:t>
      </w:r>
      <w:r w:rsidR="00984C0D" w:rsidRPr="004F06F2">
        <w:t>24</w:t>
      </w:r>
      <w:r w:rsidRPr="004F06F2">
        <w:t xml:space="preserve"> mil </w:t>
      </w:r>
      <w:r w:rsidR="00984C0D" w:rsidRPr="004F06F2">
        <w:t>404</w:t>
      </w:r>
      <w:r w:rsidRPr="004F06F2">
        <w:t xml:space="preserve"> millones </w:t>
      </w:r>
      <w:r w:rsidR="00984C0D" w:rsidRPr="004F06F2">
        <w:t>781</w:t>
      </w:r>
      <w:r w:rsidRPr="004F06F2">
        <w:t xml:space="preserve"> mil </w:t>
      </w:r>
      <w:r w:rsidR="00984C0D" w:rsidRPr="004F06F2">
        <w:t>497</w:t>
      </w:r>
      <w:r w:rsidRPr="004F06F2">
        <w:t xml:space="preserve"> pesos, como sigue:</w:t>
      </w:r>
    </w:p>
    <w:p w14:paraId="6F61AE8B" w14:textId="33A3DF98" w:rsidR="00C85E62" w:rsidRPr="004F06F2" w:rsidRDefault="00984C0D" w:rsidP="009627F2">
      <w:r w:rsidRPr="004F06F2">
        <w:rPr>
          <w:noProof/>
          <w:lang w:val="es-MX" w:eastAsia="es-MX"/>
        </w:rPr>
        <w:drawing>
          <wp:inline distT="0" distB="0" distL="0" distR="0" wp14:anchorId="799032B2" wp14:editId="0C33EF29">
            <wp:extent cx="6351270" cy="677836"/>
            <wp:effectExtent l="0" t="0" r="0" b="8255"/>
            <wp:docPr id="557262684" name="Imagen 557262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51270" cy="677836"/>
                    </a:xfrm>
                    <a:prstGeom prst="rect">
                      <a:avLst/>
                    </a:prstGeom>
                    <a:noFill/>
                    <a:ln>
                      <a:noFill/>
                    </a:ln>
                  </pic:spPr>
                </pic:pic>
              </a:graphicData>
            </a:graphic>
          </wp:inline>
        </w:drawing>
      </w:r>
    </w:p>
    <w:p w14:paraId="1E3B86EC" w14:textId="77777777" w:rsidR="00C5044A" w:rsidRPr="004F06F2" w:rsidRDefault="00C5044A" w:rsidP="009627F2">
      <w:pPr>
        <w:rPr>
          <w:rFonts w:eastAsia="Calibri" w:cs="Times New Roman"/>
          <w:b/>
          <w:bCs/>
          <w:color w:val="000000"/>
          <w:sz w:val="22"/>
          <w:szCs w:val="22"/>
        </w:rPr>
      </w:pPr>
    </w:p>
    <w:p w14:paraId="210070A8" w14:textId="4030A7D4" w:rsidR="009627F2" w:rsidRPr="004F06F2" w:rsidRDefault="009627F2" w:rsidP="009627F2">
      <w:pPr>
        <w:rPr>
          <w:rFonts w:eastAsia="Calibri" w:cs="Times New Roman"/>
          <w:b/>
          <w:bCs/>
          <w:color w:val="000000"/>
          <w:sz w:val="22"/>
          <w:szCs w:val="22"/>
        </w:rPr>
      </w:pPr>
      <w:r w:rsidRPr="004F06F2">
        <w:rPr>
          <w:rFonts w:eastAsia="Calibri" w:cs="Times New Roman"/>
          <w:b/>
          <w:bCs/>
          <w:color w:val="000000"/>
          <w:sz w:val="22"/>
          <w:szCs w:val="22"/>
        </w:rPr>
        <w:t>- OTROS INGRESOS Y BENEFICIOS</w:t>
      </w:r>
    </w:p>
    <w:p w14:paraId="28EE9FA5" w14:textId="7CC28233" w:rsidR="009627F2" w:rsidRPr="004F06F2" w:rsidRDefault="009627F2" w:rsidP="009627F2">
      <w:pPr>
        <w:rPr>
          <w:rFonts w:eastAsia="Calibri" w:cs="Times New Roman"/>
          <w:bCs/>
          <w:color w:val="000000"/>
          <w:sz w:val="22"/>
          <w:szCs w:val="22"/>
        </w:rPr>
      </w:pPr>
      <w:r w:rsidRPr="004F06F2">
        <w:rPr>
          <w:rFonts w:eastAsia="Calibri" w:cs="Times New Roman"/>
          <w:bCs/>
          <w:color w:val="000000"/>
          <w:sz w:val="22"/>
          <w:szCs w:val="22"/>
        </w:rPr>
        <w:t>Se compone de los rubros de ingresos financieros, incremento por variación de inventarios, disminución del exceso por pérdida o Deterior</w:t>
      </w:r>
      <w:r w:rsidR="00320538" w:rsidRPr="004F06F2">
        <w:rPr>
          <w:rFonts w:eastAsia="Calibri" w:cs="Times New Roman"/>
          <w:bCs/>
          <w:color w:val="000000"/>
          <w:sz w:val="22"/>
          <w:szCs w:val="22"/>
        </w:rPr>
        <w:t>o</w:t>
      </w:r>
      <w:r w:rsidRPr="004F06F2">
        <w:rPr>
          <w:rFonts w:eastAsia="Calibri" w:cs="Times New Roman"/>
          <w:bCs/>
          <w:color w:val="000000"/>
          <w:sz w:val="22"/>
          <w:szCs w:val="22"/>
        </w:rPr>
        <w:t xml:space="preserve"> u obsolescencia, disminución de excesos de provisiones y de otros ingresos y beneficios varios y se informan los montos totales como sigue:</w:t>
      </w:r>
    </w:p>
    <w:p w14:paraId="30A42D0A" w14:textId="3E0C01D4" w:rsidR="00C85E62" w:rsidRPr="004F06F2" w:rsidRDefault="00984C0D" w:rsidP="009627F2">
      <w:pPr>
        <w:rPr>
          <w:rFonts w:eastAsia="Calibri" w:cs="Times New Roman"/>
          <w:b/>
          <w:bCs/>
          <w:color w:val="000000"/>
          <w:sz w:val="22"/>
          <w:szCs w:val="22"/>
        </w:rPr>
      </w:pPr>
      <w:r w:rsidRPr="004F06F2">
        <w:rPr>
          <w:noProof/>
          <w:lang w:val="es-MX" w:eastAsia="es-MX"/>
        </w:rPr>
        <w:drawing>
          <wp:inline distT="0" distB="0" distL="0" distR="0" wp14:anchorId="478DA378" wp14:editId="4C12F2D3">
            <wp:extent cx="6351270" cy="677836"/>
            <wp:effectExtent l="0" t="0" r="0" b="8255"/>
            <wp:docPr id="557262687" name="Imagen 557262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51270" cy="677836"/>
                    </a:xfrm>
                    <a:prstGeom prst="rect">
                      <a:avLst/>
                    </a:prstGeom>
                    <a:noFill/>
                    <a:ln>
                      <a:noFill/>
                    </a:ln>
                  </pic:spPr>
                </pic:pic>
              </a:graphicData>
            </a:graphic>
          </wp:inline>
        </w:drawing>
      </w:r>
    </w:p>
    <w:p w14:paraId="78618ADB" w14:textId="190C0F81" w:rsidR="009627F2" w:rsidRPr="004F06F2" w:rsidRDefault="009627F2" w:rsidP="009627F2">
      <w:pPr>
        <w:rPr>
          <w:rFonts w:eastAsia="Calibri" w:cs="Times New Roman"/>
          <w:b/>
          <w:bCs/>
          <w:color w:val="000000"/>
          <w:sz w:val="22"/>
          <w:szCs w:val="22"/>
        </w:rPr>
      </w:pPr>
      <w:r w:rsidRPr="004F06F2">
        <w:rPr>
          <w:rFonts w:eastAsia="Calibri" w:cs="Times New Roman"/>
          <w:b/>
          <w:bCs/>
          <w:color w:val="000000"/>
          <w:sz w:val="22"/>
          <w:szCs w:val="22"/>
        </w:rPr>
        <w:lastRenderedPageBreak/>
        <w:t>GASTOS Y OTRAS PÉRDIDAS</w:t>
      </w:r>
    </w:p>
    <w:p w14:paraId="5118E719" w14:textId="58236E61" w:rsidR="009627F2" w:rsidRPr="004F06F2" w:rsidRDefault="009627F2" w:rsidP="009627F2">
      <w:pPr>
        <w:rPr>
          <w:rFonts w:ascii="Arial" w:hAnsi="Arial" w:cs="Arial"/>
          <w:color w:val="000000"/>
          <w:sz w:val="22"/>
          <w:szCs w:val="22"/>
        </w:rPr>
      </w:pPr>
      <w:r w:rsidRPr="004F06F2">
        <w:rPr>
          <w:rFonts w:eastAsia="Calibri" w:cs="Times New Roman"/>
          <w:color w:val="000000"/>
          <w:sz w:val="22"/>
          <w:szCs w:val="22"/>
        </w:rPr>
        <w:t xml:space="preserve">1. En lo relativo al gasto y otras pérdidas, se refleja el gasto devengado, en cumplimiento de la normatividad emitida por el Consejo Nacional de Armonización Contable, el cual ascendió a </w:t>
      </w:r>
      <w:r w:rsidR="00634101" w:rsidRPr="004F06F2">
        <w:rPr>
          <w:rFonts w:eastAsia="Calibri" w:cs="Times New Roman"/>
          <w:color w:val="000000"/>
          <w:sz w:val="22"/>
          <w:szCs w:val="22"/>
        </w:rPr>
        <w:t>2</w:t>
      </w:r>
      <w:r w:rsidR="00A46496" w:rsidRPr="004F06F2">
        <w:rPr>
          <w:rFonts w:eastAsia="Calibri" w:cs="Times New Roman"/>
          <w:color w:val="000000"/>
          <w:sz w:val="22"/>
          <w:szCs w:val="22"/>
        </w:rPr>
        <w:t>0 mil</w:t>
      </w:r>
      <w:r w:rsidRPr="004F06F2">
        <w:rPr>
          <w:rFonts w:eastAsia="Calibri" w:cs="Times New Roman"/>
          <w:color w:val="000000"/>
          <w:sz w:val="22"/>
          <w:szCs w:val="22"/>
        </w:rPr>
        <w:t xml:space="preserve"> </w:t>
      </w:r>
      <w:r w:rsidR="00A46496" w:rsidRPr="004F06F2">
        <w:rPr>
          <w:rFonts w:eastAsia="Calibri" w:cs="Times New Roman"/>
          <w:color w:val="000000"/>
          <w:sz w:val="22"/>
          <w:szCs w:val="22"/>
        </w:rPr>
        <w:t>889</w:t>
      </w:r>
      <w:r w:rsidRPr="004F06F2">
        <w:rPr>
          <w:rFonts w:eastAsia="Calibri" w:cs="Times New Roman"/>
          <w:color w:val="000000"/>
          <w:sz w:val="22"/>
          <w:szCs w:val="22"/>
        </w:rPr>
        <w:t xml:space="preserve"> </w:t>
      </w:r>
      <w:r w:rsidR="00A46496" w:rsidRPr="004F06F2">
        <w:rPr>
          <w:rFonts w:eastAsia="Calibri" w:cs="Times New Roman"/>
          <w:color w:val="000000"/>
          <w:sz w:val="22"/>
          <w:szCs w:val="22"/>
        </w:rPr>
        <w:t>millones 303</w:t>
      </w:r>
      <w:r w:rsidRPr="004F06F2">
        <w:rPr>
          <w:rFonts w:eastAsia="Calibri" w:cs="Times New Roman"/>
          <w:color w:val="000000"/>
          <w:sz w:val="22"/>
          <w:szCs w:val="22"/>
        </w:rPr>
        <w:t xml:space="preserve"> mil </w:t>
      </w:r>
      <w:r w:rsidR="00A46496" w:rsidRPr="004F06F2">
        <w:rPr>
          <w:rFonts w:eastAsia="Calibri" w:cs="Times New Roman"/>
          <w:color w:val="000000"/>
          <w:sz w:val="22"/>
          <w:szCs w:val="22"/>
        </w:rPr>
        <w:t>855</w:t>
      </w:r>
      <w:r w:rsidRPr="004F06F2">
        <w:rPr>
          <w:rFonts w:eastAsia="Calibri" w:cs="Times New Roman"/>
          <w:color w:val="000000"/>
          <w:sz w:val="22"/>
          <w:szCs w:val="22"/>
        </w:rPr>
        <w:t xml:space="preserve"> pesos como se detalla enseguida:</w:t>
      </w:r>
      <w:r w:rsidRPr="004F06F2">
        <w:rPr>
          <w:rFonts w:ascii="Arial" w:hAnsi="Arial" w:cs="Arial"/>
          <w:color w:val="000000"/>
          <w:sz w:val="22"/>
          <w:szCs w:val="22"/>
        </w:rPr>
        <w:t xml:space="preserve"> </w:t>
      </w:r>
    </w:p>
    <w:p w14:paraId="43668785" w14:textId="3A41577C" w:rsidR="009627F2" w:rsidRPr="004F06F2" w:rsidRDefault="00A46496" w:rsidP="009627F2">
      <w:pPr>
        <w:rPr>
          <w:rFonts w:eastAsia="Calibri" w:cs="Times New Roman"/>
          <w:color w:val="000000"/>
          <w:sz w:val="22"/>
          <w:szCs w:val="22"/>
        </w:rPr>
      </w:pPr>
      <w:r w:rsidRPr="004F06F2">
        <w:rPr>
          <w:noProof/>
          <w:lang w:val="es-MX" w:eastAsia="es-MX"/>
        </w:rPr>
        <w:drawing>
          <wp:inline distT="0" distB="0" distL="0" distR="0" wp14:anchorId="3EB7F7F5" wp14:editId="10B9F3F8">
            <wp:extent cx="6351270" cy="1122280"/>
            <wp:effectExtent l="0" t="0" r="0" b="1905"/>
            <wp:docPr id="993237350" name="Imagen 993237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51270" cy="1122280"/>
                    </a:xfrm>
                    <a:prstGeom prst="rect">
                      <a:avLst/>
                    </a:prstGeom>
                    <a:noFill/>
                    <a:ln>
                      <a:noFill/>
                    </a:ln>
                  </pic:spPr>
                </pic:pic>
              </a:graphicData>
            </a:graphic>
          </wp:inline>
        </w:drawing>
      </w:r>
    </w:p>
    <w:p w14:paraId="4F69C033" w14:textId="77777777" w:rsidR="009627F2" w:rsidRPr="004F06F2" w:rsidRDefault="009627F2" w:rsidP="009627F2">
      <w:pPr>
        <w:spacing w:before="120" w:after="120"/>
        <w:rPr>
          <w:rFonts w:eastAsia="Calibri" w:cs="Times New Roman"/>
          <w:sz w:val="22"/>
          <w:szCs w:val="22"/>
        </w:rPr>
      </w:pPr>
      <w:r w:rsidRPr="004F06F2">
        <w:rPr>
          <w:rFonts w:eastAsia="Calibri" w:cs="Times New Roman"/>
          <w:sz w:val="22"/>
          <w:szCs w:val="22"/>
        </w:rPr>
        <w:t>A continuación, se explican aquellas cuentas del gasto que en lo individual representan el 10% o más del gasto total, siendo las más representativas las siguientes:</w:t>
      </w:r>
    </w:p>
    <w:p w14:paraId="26FF37ED" w14:textId="6556210A" w:rsidR="009627F2" w:rsidRPr="004F06F2" w:rsidRDefault="009627F2" w:rsidP="009627F2">
      <w:pPr>
        <w:spacing w:before="120" w:after="120"/>
        <w:rPr>
          <w:rFonts w:eastAsia="Calibri" w:cs="Times New Roman"/>
          <w:sz w:val="22"/>
          <w:szCs w:val="22"/>
        </w:rPr>
      </w:pPr>
      <w:r w:rsidRPr="004F06F2">
        <w:rPr>
          <w:rFonts w:eastAsia="Calibri" w:cs="Times New Roman"/>
          <w:b/>
          <w:sz w:val="22"/>
          <w:szCs w:val="22"/>
        </w:rPr>
        <w:t>Servicios Personales</w:t>
      </w:r>
      <w:r w:rsidRPr="004F06F2">
        <w:rPr>
          <w:rFonts w:eastAsia="Calibri" w:cs="Times New Roman"/>
          <w:sz w:val="22"/>
          <w:szCs w:val="22"/>
        </w:rPr>
        <w:t xml:space="preserve">: Representa el </w:t>
      </w:r>
      <w:r w:rsidR="00A46496" w:rsidRPr="004F06F2">
        <w:rPr>
          <w:rFonts w:eastAsia="Calibri" w:cs="Times New Roman"/>
          <w:sz w:val="22"/>
          <w:szCs w:val="22"/>
        </w:rPr>
        <w:t>40</w:t>
      </w:r>
      <w:r w:rsidRPr="004F06F2">
        <w:rPr>
          <w:rFonts w:eastAsia="Calibri" w:cs="Times New Roman"/>
          <w:sz w:val="22"/>
          <w:szCs w:val="22"/>
        </w:rPr>
        <w:t xml:space="preserve">% y agrupa las remuneraciones del </w:t>
      </w:r>
      <w:r w:rsidRPr="004F06F2">
        <w:rPr>
          <w:rFonts w:eastAsia="Calibri" w:cs="Times New Roman"/>
          <w:bCs/>
          <w:sz w:val="22"/>
          <w:szCs w:val="22"/>
        </w:rPr>
        <w:t>personal</w:t>
      </w:r>
      <w:r w:rsidRPr="004F06F2">
        <w:rPr>
          <w:rFonts w:eastAsia="Calibri" w:cs="Times New Roman"/>
          <w:sz w:val="22"/>
          <w:szCs w:val="22"/>
        </w:rPr>
        <w:t xml:space="preserve"> al servicio de los entes públicos, tales como: sueldos, salarios, honorarios asimilables al salario, prestaciones y gastos de seguridad social, obligaciones laborales y otras prestaciones derivadas de una relación laboral; pudiendo ser de carácter permanente o transitorio. </w:t>
      </w:r>
    </w:p>
    <w:p w14:paraId="281138F2" w14:textId="58375E3B" w:rsidR="009627F2" w:rsidRPr="004F06F2" w:rsidRDefault="009627F2" w:rsidP="009627F2">
      <w:pPr>
        <w:spacing w:before="120" w:after="120"/>
        <w:rPr>
          <w:rFonts w:eastAsia="Calibri" w:cs="Times New Roman"/>
          <w:sz w:val="22"/>
          <w:szCs w:val="22"/>
        </w:rPr>
      </w:pPr>
      <w:r w:rsidRPr="004F06F2">
        <w:rPr>
          <w:rFonts w:eastAsia="Calibri" w:cs="Times New Roman"/>
          <w:b/>
          <w:sz w:val="22"/>
          <w:szCs w:val="22"/>
        </w:rPr>
        <w:t>Transferencias, Asignaciones, Subsidios y Otras Ayudas:</w:t>
      </w:r>
      <w:r w:rsidRPr="004F06F2">
        <w:rPr>
          <w:rFonts w:eastAsia="Calibri" w:cs="Times New Roman"/>
          <w:sz w:val="22"/>
          <w:szCs w:val="22"/>
        </w:rPr>
        <w:t xml:space="preserve"> El </w:t>
      </w:r>
      <w:r w:rsidR="00742F6E" w:rsidRPr="004F06F2">
        <w:rPr>
          <w:rFonts w:eastAsia="Calibri" w:cs="Times New Roman"/>
          <w:sz w:val="22"/>
          <w:szCs w:val="22"/>
        </w:rPr>
        <w:t>3</w:t>
      </w:r>
      <w:r w:rsidR="00A46496" w:rsidRPr="004F06F2">
        <w:rPr>
          <w:rFonts w:eastAsia="Calibri" w:cs="Times New Roman"/>
          <w:sz w:val="22"/>
          <w:szCs w:val="22"/>
        </w:rPr>
        <w:t>2</w:t>
      </w:r>
      <w:r w:rsidRPr="004F06F2">
        <w:rPr>
          <w:rFonts w:eastAsia="Calibri" w:cs="Times New Roman"/>
          <w:sz w:val="22"/>
          <w:szCs w:val="22"/>
        </w:rPr>
        <w:t>% del gasto que se destinó, a los entes públicos contenidos en el Presupuesto de Egresos con el objeto de sufragar gastos inherentes a sus atribuciones.</w:t>
      </w:r>
    </w:p>
    <w:p w14:paraId="21E1C7D6" w14:textId="139BF117" w:rsidR="00A46496" w:rsidRPr="004F06F2" w:rsidRDefault="00A46496" w:rsidP="00A46496">
      <w:pPr>
        <w:spacing w:before="0" w:after="0"/>
        <w:rPr>
          <w:rFonts w:eastAsia="Calibri" w:cs="Times New Roman"/>
          <w:sz w:val="22"/>
          <w:szCs w:val="22"/>
        </w:rPr>
      </w:pPr>
      <w:r w:rsidRPr="004F06F2">
        <w:rPr>
          <w:rFonts w:eastAsia="Calibri" w:cs="Times New Roman"/>
          <w:b/>
          <w:sz w:val="22"/>
          <w:szCs w:val="22"/>
        </w:rPr>
        <w:t>Participaciones y Aportaciones</w:t>
      </w:r>
      <w:r w:rsidRPr="004F06F2">
        <w:rPr>
          <w:rFonts w:eastAsia="Calibri" w:cs="Times New Roman"/>
          <w:sz w:val="22"/>
          <w:szCs w:val="22"/>
        </w:rPr>
        <w:t>: Las erogaciones con cargo a este apartado, representan el 21% del gasto total y se refiere a recursos que corresponden a los Estados y Municipios que se derivan del Sistema Nacional de Coordinación Fiscal, de conformidad a lo establecido por los capítulos I, II, III y IV de la Ley de Coordinación Fiscal, así como las que corresponden a sistemas estatales de coordinación fiscal determinados por las leyes correspondientes.</w:t>
      </w:r>
    </w:p>
    <w:p w14:paraId="2D11DA3F" w14:textId="62E5F320" w:rsidR="007856A6" w:rsidRPr="004F06F2" w:rsidRDefault="007856A6" w:rsidP="00B82D70">
      <w:pPr>
        <w:spacing w:before="0" w:after="0"/>
        <w:jc w:val="left"/>
        <w:rPr>
          <w:rFonts w:eastAsia="Calibri" w:cs="Times New Roman"/>
          <w:b/>
        </w:rPr>
      </w:pPr>
    </w:p>
    <w:p w14:paraId="7A7F0124" w14:textId="77777777" w:rsidR="00054492" w:rsidRDefault="00054492" w:rsidP="00B82D70">
      <w:pPr>
        <w:spacing w:before="0" w:after="0"/>
        <w:jc w:val="left"/>
        <w:rPr>
          <w:rFonts w:eastAsia="Calibri" w:cs="Times New Roman"/>
          <w:b/>
        </w:rPr>
      </w:pPr>
    </w:p>
    <w:p w14:paraId="5B645F79" w14:textId="77777777" w:rsidR="00054492" w:rsidRDefault="00054492" w:rsidP="00B82D70">
      <w:pPr>
        <w:spacing w:before="0" w:after="0"/>
        <w:jc w:val="left"/>
        <w:rPr>
          <w:rFonts w:eastAsia="Calibri" w:cs="Times New Roman"/>
          <w:b/>
        </w:rPr>
      </w:pPr>
    </w:p>
    <w:p w14:paraId="4C5261C3" w14:textId="77777777" w:rsidR="00054492" w:rsidRDefault="00054492" w:rsidP="00B82D70">
      <w:pPr>
        <w:spacing w:before="0" w:after="0"/>
        <w:jc w:val="left"/>
        <w:rPr>
          <w:rFonts w:eastAsia="Calibri" w:cs="Times New Roman"/>
          <w:b/>
        </w:rPr>
      </w:pPr>
    </w:p>
    <w:p w14:paraId="57498228" w14:textId="77777777" w:rsidR="00054492" w:rsidRDefault="00054492" w:rsidP="00B82D70">
      <w:pPr>
        <w:spacing w:before="0" w:after="0"/>
        <w:jc w:val="left"/>
        <w:rPr>
          <w:rFonts w:eastAsia="Calibri" w:cs="Times New Roman"/>
          <w:b/>
        </w:rPr>
      </w:pPr>
    </w:p>
    <w:p w14:paraId="085E5C11" w14:textId="77777777" w:rsidR="00054492" w:rsidRDefault="00054492" w:rsidP="00B82D70">
      <w:pPr>
        <w:spacing w:before="0" w:after="0"/>
        <w:jc w:val="left"/>
        <w:rPr>
          <w:rFonts w:eastAsia="Calibri" w:cs="Times New Roman"/>
          <w:b/>
        </w:rPr>
      </w:pPr>
    </w:p>
    <w:p w14:paraId="5E7A5135" w14:textId="3A131020" w:rsidR="00B82D70" w:rsidRPr="004F06F2" w:rsidRDefault="0070010C" w:rsidP="00B82D70">
      <w:pPr>
        <w:spacing w:before="0" w:after="0"/>
        <w:jc w:val="left"/>
        <w:rPr>
          <w:rFonts w:eastAsia="Calibri" w:cs="Times New Roman"/>
          <w:b/>
        </w:rPr>
      </w:pPr>
      <w:r w:rsidRPr="004F06F2">
        <w:rPr>
          <w:rFonts w:eastAsia="Calibri" w:cs="Times New Roman"/>
          <w:b/>
        </w:rPr>
        <w:lastRenderedPageBreak/>
        <w:t>I</w:t>
      </w:r>
      <w:r w:rsidR="009627F2" w:rsidRPr="004F06F2">
        <w:rPr>
          <w:rFonts w:eastAsia="Calibri" w:cs="Times New Roman"/>
          <w:b/>
        </w:rPr>
        <w:t>I</w:t>
      </w:r>
      <w:r w:rsidRPr="004F06F2">
        <w:rPr>
          <w:rFonts w:eastAsia="Calibri" w:cs="Times New Roman"/>
          <w:b/>
        </w:rPr>
        <w:t xml:space="preserve">). </w:t>
      </w:r>
      <w:r w:rsidR="00B82D70" w:rsidRPr="004F06F2">
        <w:rPr>
          <w:rFonts w:eastAsia="Calibri" w:cs="Times New Roman"/>
          <w:b/>
        </w:rPr>
        <w:t>NOTAS AL ESTADO DE SITUACIÓN FINANCIERA</w:t>
      </w:r>
    </w:p>
    <w:p w14:paraId="2F44D398" w14:textId="77777777" w:rsidR="003A282E" w:rsidRPr="004F06F2" w:rsidRDefault="003A282E" w:rsidP="00B82D70">
      <w:pPr>
        <w:spacing w:before="0" w:after="0"/>
        <w:jc w:val="left"/>
        <w:rPr>
          <w:rFonts w:eastAsia="Calibri" w:cs="Times New Roman"/>
          <w:b/>
        </w:rPr>
      </w:pPr>
    </w:p>
    <w:p w14:paraId="7403D1F7" w14:textId="56109A73" w:rsidR="00B82D70" w:rsidRPr="004F06F2" w:rsidRDefault="00B82D70" w:rsidP="00B82D70">
      <w:pPr>
        <w:spacing w:before="0" w:after="0"/>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 xml:space="preserve">ACTIVO </w:t>
      </w:r>
    </w:p>
    <w:p w14:paraId="7E763BB1" w14:textId="77777777" w:rsidR="003A282E" w:rsidRPr="004F06F2" w:rsidRDefault="003A282E" w:rsidP="00B82D70">
      <w:pPr>
        <w:spacing w:before="0" w:after="0"/>
        <w:rPr>
          <w:rFonts w:eastAsia="Times New Roman" w:cs="Times New Roman"/>
          <w:b/>
          <w:color w:val="000000"/>
          <w:sz w:val="22"/>
          <w:szCs w:val="22"/>
          <w:lang w:eastAsia="es-MX"/>
        </w:rPr>
      </w:pPr>
    </w:p>
    <w:p w14:paraId="5EECF50C" w14:textId="0241E772" w:rsidR="00312609" w:rsidRPr="004F06F2" w:rsidRDefault="00B82D70" w:rsidP="00CF7E8D">
      <w:pPr>
        <w:spacing w:before="0" w:after="0"/>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1.- EFECTIVO Y EQUIVALENTES</w:t>
      </w:r>
    </w:p>
    <w:p w14:paraId="18DCEE76" w14:textId="77777777" w:rsidR="003A282E" w:rsidRPr="004F06F2" w:rsidRDefault="003A282E" w:rsidP="00CF7E8D">
      <w:pPr>
        <w:spacing w:before="0" w:after="0"/>
        <w:rPr>
          <w:rFonts w:eastAsia="Times New Roman" w:cs="Times New Roman"/>
          <w:color w:val="000000"/>
          <w:sz w:val="22"/>
          <w:szCs w:val="22"/>
          <w:lang w:eastAsia="es-MX"/>
        </w:rPr>
      </w:pPr>
    </w:p>
    <w:p w14:paraId="728EB457" w14:textId="2A720A45" w:rsidR="00B82D70" w:rsidRPr="004F06F2" w:rsidRDefault="00B82D70" w:rsidP="00CF7E8D">
      <w:pPr>
        <w:spacing w:before="0" w:after="0"/>
        <w:rPr>
          <w:rFonts w:eastAsia="Times New Roman" w:cs="Times New Roman"/>
          <w:color w:val="000000"/>
          <w:sz w:val="22"/>
          <w:szCs w:val="22"/>
          <w:lang w:eastAsia="es-MX"/>
        </w:rPr>
      </w:pPr>
      <w:r w:rsidRPr="004F06F2">
        <w:rPr>
          <w:rFonts w:eastAsia="Times New Roman" w:cs="Times New Roman"/>
          <w:color w:val="000000"/>
          <w:sz w:val="22"/>
          <w:szCs w:val="22"/>
          <w:lang w:eastAsia="es-MX"/>
        </w:rPr>
        <w:t xml:space="preserve">El saldo de </w:t>
      </w:r>
      <w:r w:rsidR="004745CF" w:rsidRPr="004F06F2">
        <w:rPr>
          <w:rFonts w:eastAsia="Times New Roman" w:cs="Times New Roman"/>
          <w:color w:val="000000"/>
          <w:sz w:val="22"/>
          <w:szCs w:val="22"/>
          <w:lang w:eastAsia="es-MX"/>
        </w:rPr>
        <w:t>5</w:t>
      </w:r>
      <w:r w:rsidRPr="004F06F2">
        <w:rPr>
          <w:rFonts w:eastAsia="Times New Roman" w:cs="Times New Roman"/>
          <w:color w:val="000000"/>
          <w:sz w:val="22"/>
          <w:szCs w:val="22"/>
          <w:lang w:eastAsia="es-MX"/>
        </w:rPr>
        <w:t xml:space="preserve"> mil </w:t>
      </w:r>
      <w:r w:rsidR="004745CF" w:rsidRPr="004F06F2">
        <w:rPr>
          <w:rFonts w:eastAsia="Times New Roman" w:cs="Times New Roman"/>
          <w:color w:val="000000"/>
          <w:sz w:val="22"/>
          <w:szCs w:val="22"/>
          <w:lang w:eastAsia="es-MX"/>
        </w:rPr>
        <w:t>519</w:t>
      </w:r>
      <w:r w:rsidRPr="004F06F2">
        <w:rPr>
          <w:rFonts w:eastAsia="Times New Roman" w:cs="Times New Roman"/>
          <w:color w:val="000000"/>
          <w:sz w:val="22"/>
          <w:szCs w:val="22"/>
          <w:lang w:eastAsia="es-MX"/>
        </w:rPr>
        <w:t xml:space="preserve"> millones </w:t>
      </w:r>
      <w:r w:rsidR="004745CF" w:rsidRPr="004F06F2">
        <w:rPr>
          <w:rFonts w:eastAsia="Times New Roman" w:cs="Times New Roman"/>
          <w:color w:val="000000"/>
          <w:sz w:val="22"/>
          <w:szCs w:val="22"/>
          <w:lang w:eastAsia="es-MX"/>
        </w:rPr>
        <w:t>676</w:t>
      </w:r>
      <w:r w:rsidRPr="004F06F2">
        <w:rPr>
          <w:rFonts w:eastAsia="Times New Roman" w:cs="Times New Roman"/>
          <w:color w:val="000000"/>
          <w:sz w:val="22"/>
          <w:szCs w:val="22"/>
          <w:lang w:eastAsia="es-MX"/>
        </w:rPr>
        <w:t xml:space="preserve"> mil </w:t>
      </w:r>
      <w:r w:rsidR="004745CF" w:rsidRPr="004F06F2">
        <w:rPr>
          <w:rFonts w:eastAsia="Times New Roman" w:cs="Times New Roman"/>
          <w:color w:val="000000"/>
          <w:sz w:val="22"/>
          <w:szCs w:val="22"/>
          <w:lang w:eastAsia="es-MX"/>
        </w:rPr>
        <w:t>614</w:t>
      </w:r>
      <w:r w:rsidRPr="004F06F2">
        <w:rPr>
          <w:rFonts w:eastAsia="Times New Roman" w:cs="Times New Roman"/>
          <w:color w:val="000000"/>
          <w:sz w:val="22"/>
          <w:szCs w:val="22"/>
          <w:lang w:eastAsia="es-MX"/>
        </w:rPr>
        <w:t xml:space="preserve"> pesos, representa los recursos en efectivo y cuentas bancarias propiedad del Gobierno del Estado, así como en inversiones temporales recuperables, en donde se encuentran recursos pendientes de aplicar de convenios y fondos federales, que se </w:t>
      </w:r>
      <w:r w:rsidR="00485F96" w:rsidRPr="004F06F2">
        <w:rPr>
          <w:rFonts w:eastAsia="Times New Roman" w:cs="Times New Roman"/>
          <w:color w:val="000000"/>
          <w:sz w:val="22"/>
          <w:szCs w:val="22"/>
          <w:lang w:eastAsia="es-MX"/>
        </w:rPr>
        <w:t>h</w:t>
      </w:r>
      <w:r w:rsidRPr="004F06F2">
        <w:rPr>
          <w:rFonts w:eastAsia="Times New Roman" w:cs="Times New Roman"/>
          <w:color w:val="000000"/>
          <w:sz w:val="22"/>
          <w:szCs w:val="22"/>
          <w:lang w:eastAsia="es-MX"/>
        </w:rPr>
        <w:t xml:space="preserve">arán de conformidad con las reglas de cada uno de ellos, y en el pago a Proveedores, Terceros Institucionales, Impuesto Sobre la Renta Retenido y Cuotas y Aportaciones Patronales. </w:t>
      </w:r>
    </w:p>
    <w:p w14:paraId="705CDF87" w14:textId="77777777" w:rsidR="003A282E" w:rsidRPr="004F06F2" w:rsidRDefault="003A282E" w:rsidP="00CF7E8D">
      <w:pPr>
        <w:spacing w:before="0" w:after="0"/>
        <w:rPr>
          <w:rFonts w:eastAsia="Times New Roman" w:cs="Times New Roman"/>
          <w:color w:val="000000"/>
          <w:sz w:val="22"/>
          <w:szCs w:val="22"/>
          <w:lang w:eastAsia="es-MX"/>
        </w:rPr>
      </w:pPr>
    </w:p>
    <w:p w14:paraId="631CFCFC" w14:textId="27D9F19E" w:rsidR="00312609" w:rsidRPr="004F06F2" w:rsidRDefault="00B82D70" w:rsidP="00B82D70">
      <w:pPr>
        <w:widowControl w:val="0"/>
        <w:kinsoku w:val="0"/>
        <w:spacing w:before="0" w:after="0"/>
        <w:contextualSpacing/>
        <w:rPr>
          <w:rFonts w:eastAsia="Times New Roman" w:cs="Times New Roman"/>
          <w:color w:val="000000"/>
          <w:sz w:val="22"/>
          <w:szCs w:val="22"/>
          <w:lang w:eastAsia="es-MX"/>
        </w:rPr>
      </w:pPr>
      <w:r w:rsidRPr="004F06F2">
        <w:rPr>
          <w:rFonts w:eastAsia="Times New Roman" w:cs="Times New Roman"/>
          <w:color w:val="000000"/>
          <w:sz w:val="22"/>
          <w:szCs w:val="22"/>
          <w:lang w:eastAsia="es-MX"/>
        </w:rPr>
        <w:t>Su integración detallada es la siguiente:</w:t>
      </w:r>
    </w:p>
    <w:p w14:paraId="2EC5202A" w14:textId="36CC9EDD" w:rsidR="001C365F" w:rsidRPr="004F06F2" w:rsidRDefault="004745CF" w:rsidP="00B82D70">
      <w:pPr>
        <w:widowControl w:val="0"/>
        <w:kinsoku w:val="0"/>
        <w:spacing w:before="0" w:after="0"/>
        <w:contextualSpacing/>
        <w:rPr>
          <w:rFonts w:eastAsia="Times New Roman" w:cs="Times New Roman"/>
          <w:color w:val="000000"/>
          <w:sz w:val="22"/>
          <w:szCs w:val="22"/>
          <w:lang w:eastAsia="es-MX"/>
        </w:rPr>
      </w:pPr>
      <w:r w:rsidRPr="004F06F2">
        <w:rPr>
          <w:noProof/>
          <w:lang w:val="es-MX" w:eastAsia="es-MX"/>
        </w:rPr>
        <w:drawing>
          <wp:inline distT="0" distB="0" distL="0" distR="0" wp14:anchorId="68FA08FA" wp14:editId="6304F771">
            <wp:extent cx="6351270" cy="794823"/>
            <wp:effectExtent l="0" t="0" r="0" b="5715"/>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51270" cy="794823"/>
                    </a:xfrm>
                    <a:prstGeom prst="rect">
                      <a:avLst/>
                    </a:prstGeom>
                    <a:noFill/>
                    <a:ln>
                      <a:noFill/>
                    </a:ln>
                  </pic:spPr>
                </pic:pic>
              </a:graphicData>
            </a:graphic>
          </wp:inline>
        </w:drawing>
      </w:r>
    </w:p>
    <w:p w14:paraId="35F83F98" w14:textId="77777777" w:rsidR="003A282E" w:rsidRPr="004F06F2" w:rsidRDefault="003A282E" w:rsidP="001C365F">
      <w:pPr>
        <w:widowControl w:val="0"/>
        <w:kinsoku w:val="0"/>
        <w:spacing w:before="0" w:after="0"/>
        <w:contextualSpacing/>
        <w:rPr>
          <w:rFonts w:eastAsia="Times New Roman" w:cs="Times New Roman"/>
          <w:color w:val="000000"/>
          <w:sz w:val="22"/>
          <w:szCs w:val="22"/>
          <w:lang w:eastAsia="es-MX"/>
        </w:rPr>
      </w:pPr>
    </w:p>
    <w:p w14:paraId="0603959C" w14:textId="293CB41A" w:rsidR="00B82D70" w:rsidRPr="004F06F2" w:rsidRDefault="00F62709" w:rsidP="001C365F">
      <w:pPr>
        <w:widowControl w:val="0"/>
        <w:kinsoku w:val="0"/>
        <w:spacing w:before="0" w:after="0"/>
        <w:contextualSpacing/>
        <w:rPr>
          <w:rFonts w:eastAsia="Times New Roman" w:cs="Times New Roman"/>
          <w:color w:val="000000"/>
          <w:sz w:val="22"/>
          <w:szCs w:val="22"/>
          <w:lang w:eastAsia="es-MX"/>
        </w:rPr>
      </w:pPr>
      <w:r w:rsidRPr="004F06F2">
        <w:rPr>
          <w:rFonts w:eastAsia="Times New Roman" w:cs="Times New Roman"/>
          <w:color w:val="000000"/>
          <w:sz w:val="22"/>
          <w:szCs w:val="22"/>
          <w:lang w:eastAsia="es-MX"/>
        </w:rPr>
        <w:t xml:space="preserve">Se presenta </w:t>
      </w:r>
      <w:r w:rsidR="00F852D1" w:rsidRPr="004F06F2">
        <w:rPr>
          <w:rFonts w:eastAsia="Times New Roman" w:cs="Times New Roman"/>
          <w:color w:val="000000"/>
          <w:sz w:val="22"/>
          <w:szCs w:val="22"/>
          <w:lang w:eastAsia="es-MX"/>
        </w:rPr>
        <w:t>aumento</w:t>
      </w:r>
      <w:r w:rsidRPr="004F06F2">
        <w:rPr>
          <w:rFonts w:eastAsia="Times New Roman" w:cs="Times New Roman"/>
          <w:color w:val="000000"/>
          <w:sz w:val="22"/>
          <w:szCs w:val="22"/>
          <w:lang w:eastAsia="es-MX"/>
        </w:rPr>
        <w:t xml:space="preserve"> del </w:t>
      </w:r>
      <w:r w:rsidR="004745CF" w:rsidRPr="004F06F2">
        <w:rPr>
          <w:rFonts w:eastAsia="Times New Roman" w:cs="Times New Roman"/>
          <w:color w:val="000000"/>
          <w:sz w:val="22"/>
          <w:szCs w:val="22"/>
          <w:lang w:eastAsia="es-MX"/>
        </w:rPr>
        <w:t>21</w:t>
      </w:r>
      <w:r w:rsidR="00F91988" w:rsidRPr="004F06F2">
        <w:rPr>
          <w:rFonts w:eastAsia="Times New Roman" w:cs="Times New Roman"/>
          <w:color w:val="000000"/>
          <w:sz w:val="22"/>
          <w:szCs w:val="22"/>
          <w:lang w:eastAsia="es-MX"/>
        </w:rPr>
        <w:t>%,</w:t>
      </w:r>
      <w:r w:rsidR="008F42E7" w:rsidRPr="004F06F2">
        <w:rPr>
          <w:rFonts w:eastAsia="Times New Roman" w:cs="Times New Roman"/>
          <w:color w:val="000000"/>
          <w:sz w:val="22"/>
          <w:szCs w:val="22"/>
          <w:lang w:eastAsia="es-MX"/>
        </w:rPr>
        <w:t xml:space="preserve"> respecto del mismo periodo del ejercicio anterior</w:t>
      </w:r>
      <w:r w:rsidRPr="004F06F2">
        <w:rPr>
          <w:rFonts w:eastAsia="Times New Roman" w:cs="Times New Roman"/>
          <w:color w:val="000000"/>
          <w:sz w:val="22"/>
          <w:szCs w:val="22"/>
          <w:lang w:eastAsia="es-MX"/>
        </w:rPr>
        <w:t xml:space="preserve"> en el rubro de efectivo y equivalentes derivado principalmente de los saldos en las cuentas de Bancos</w:t>
      </w:r>
      <w:r w:rsidR="004E01E5" w:rsidRPr="004F06F2">
        <w:rPr>
          <w:rFonts w:eastAsia="Times New Roman" w:cs="Times New Roman"/>
          <w:color w:val="000000"/>
          <w:sz w:val="22"/>
          <w:szCs w:val="22"/>
          <w:lang w:eastAsia="es-MX"/>
        </w:rPr>
        <w:t xml:space="preserve"> y de los fondos con afectaciones específicas</w:t>
      </w:r>
      <w:r w:rsidR="00523FC0" w:rsidRPr="004F06F2">
        <w:rPr>
          <w:rFonts w:eastAsia="Times New Roman" w:cs="Times New Roman"/>
          <w:color w:val="000000"/>
          <w:sz w:val="22"/>
          <w:szCs w:val="22"/>
          <w:lang w:eastAsia="es-MX"/>
        </w:rPr>
        <w:t>.</w:t>
      </w:r>
    </w:p>
    <w:p w14:paraId="0FAC864F" w14:textId="77777777" w:rsidR="003A282E" w:rsidRPr="004F06F2" w:rsidRDefault="003A282E" w:rsidP="001C365F">
      <w:pPr>
        <w:widowControl w:val="0"/>
        <w:kinsoku w:val="0"/>
        <w:spacing w:before="0" w:after="0"/>
        <w:contextualSpacing/>
        <w:rPr>
          <w:rFonts w:eastAsia="Times New Roman" w:cs="Times New Roman"/>
          <w:color w:val="000000"/>
          <w:sz w:val="22"/>
          <w:szCs w:val="22"/>
          <w:lang w:eastAsia="es-MX"/>
        </w:rPr>
      </w:pPr>
    </w:p>
    <w:p w14:paraId="538DA796" w14:textId="68768BD0" w:rsidR="00266E75" w:rsidRPr="004F06F2" w:rsidRDefault="00266E75" w:rsidP="001C365F">
      <w:pPr>
        <w:widowControl w:val="0"/>
        <w:kinsoku w:val="0"/>
        <w:spacing w:before="0" w:after="0"/>
        <w:contextualSpacing/>
        <w:rPr>
          <w:rFonts w:eastAsia="Times New Roman" w:cs="Times New Roman"/>
          <w:color w:val="000000"/>
          <w:sz w:val="22"/>
          <w:szCs w:val="22"/>
          <w:lang w:eastAsia="es-MX"/>
        </w:rPr>
      </w:pPr>
      <w:r w:rsidRPr="004F06F2">
        <w:rPr>
          <w:rFonts w:eastAsia="Times New Roman" w:cs="Times New Roman"/>
          <w:color w:val="000000"/>
          <w:sz w:val="22"/>
          <w:szCs w:val="22"/>
          <w:lang w:eastAsia="es-MX"/>
        </w:rPr>
        <w:t>En este sentido, se destacan las cuentas bancarias de fondos específicos por convenios o fondos federales</w:t>
      </w:r>
      <w:r w:rsidR="00D31118" w:rsidRPr="004F06F2">
        <w:rPr>
          <w:rFonts w:eastAsia="Times New Roman" w:cs="Times New Roman"/>
          <w:color w:val="000000"/>
          <w:sz w:val="22"/>
          <w:szCs w:val="22"/>
          <w:lang w:eastAsia="es-MX"/>
        </w:rPr>
        <w:t>, del ejercicio 202</w:t>
      </w:r>
      <w:r w:rsidR="004745CF" w:rsidRPr="004F06F2">
        <w:rPr>
          <w:rFonts w:eastAsia="Times New Roman" w:cs="Times New Roman"/>
          <w:color w:val="000000"/>
          <w:sz w:val="22"/>
          <w:szCs w:val="22"/>
          <w:lang w:eastAsia="es-MX"/>
        </w:rPr>
        <w:t>4</w:t>
      </w:r>
      <w:r w:rsidRPr="004F06F2">
        <w:rPr>
          <w:rFonts w:eastAsia="Times New Roman" w:cs="Times New Roman"/>
          <w:color w:val="000000"/>
          <w:sz w:val="22"/>
          <w:szCs w:val="22"/>
          <w:lang w:eastAsia="es-MX"/>
        </w:rPr>
        <w:t>, que cuentan con los saldos s</w:t>
      </w:r>
      <w:r w:rsidR="00407758" w:rsidRPr="004F06F2">
        <w:rPr>
          <w:rFonts w:eastAsia="Times New Roman" w:cs="Times New Roman"/>
          <w:color w:val="000000"/>
          <w:sz w:val="22"/>
          <w:szCs w:val="22"/>
          <w:lang w:eastAsia="es-MX"/>
        </w:rPr>
        <w:t>i</w:t>
      </w:r>
      <w:r w:rsidRPr="004F06F2">
        <w:rPr>
          <w:rFonts w:eastAsia="Times New Roman" w:cs="Times New Roman"/>
          <w:color w:val="000000"/>
          <w:sz w:val="22"/>
          <w:szCs w:val="22"/>
          <w:lang w:eastAsia="es-MX"/>
        </w:rPr>
        <w:t>guientes:</w:t>
      </w:r>
    </w:p>
    <w:p w14:paraId="7AF3BD67" w14:textId="77777777" w:rsidR="007E1CED" w:rsidRPr="004F06F2" w:rsidRDefault="007E1CED" w:rsidP="001C365F">
      <w:pPr>
        <w:widowControl w:val="0"/>
        <w:kinsoku w:val="0"/>
        <w:spacing w:before="0" w:after="0"/>
        <w:contextualSpacing/>
        <w:rPr>
          <w:rFonts w:eastAsia="Times New Roman" w:cs="Times New Roman"/>
          <w:color w:val="000000"/>
          <w:sz w:val="22"/>
          <w:szCs w:val="22"/>
          <w:lang w:eastAsia="es-MX"/>
        </w:rPr>
      </w:pPr>
    </w:p>
    <w:p w14:paraId="73B60A02" w14:textId="382231C1" w:rsidR="007E1CED" w:rsidRPr="004F06F2" w:rsidRDefault="007E1CED" w:rsidP="001C365F">
      <w:pPr>
        <w:widowControl w:val="0"/>
        <w:kinsoku w:val="0"/>
        <w:spacing w:before="0" w:after="0"/>
        <w:contextualSpacing/>
        <w:rPr>
          <w:rFonts w:eastAsia="Times New Roman" w:cs="Times New Roman"/>
          <w:color w:val="000000"/>
          <w:sz w:val="22"/>
          <w:szCs w:val="22"/>
          <w:lang w:eastAsia="es-MX"/>
        </w:rPr>
      </w:pPr>
    </w:p>
    <w:p w14:paraId="30F64FAD" w14:textId="123A4E72" w:rsidR="00266E75" w:rsidRPr="004F06F2" w:rsidRDefault="00A8071E" w:rsidP="001C365F">
      <w:pPr>
        <w:widowControl w:val="0"/>
        <w:kinsoku w:val="0"/>
        <w:spacing w:before="0" w:after="0"/>
        <w:contextualSpacing/>
        <w:rPr>
          <w:rFonts w:eastAsia="Times New Roman" w:cs="Times New Roman"/>
          <w:color w:val="000000"/>
          <w:sz w:val="22"/>
          <w:szCs w:val="22"/>
          <w:lang w:eastAsia="es-MX"/>
        </w:rPr>
      </w:pPr>
      <w:r w:rsidRPr="00DF6455">
        <w:rPr>
          <w:noProof/>
          <w:lang w:val="es-MX" w:eastAsia="es-MX"/>
        </w:rPr>
        <w:lastRenderedPageBreak/>
        <w:drawing>
          <wp:inline distT="0" distB="0" distL="0" distR="0" wp14:anchorId="3D48032F" wp14:editId="53B73CF6">
            <wp:extent cx="6351270" cy="6221730"/>
            <wp:effectExtent l="0" t="0" r="0" b="7620"/>
            <wp:docPr id="107754560" name="Imagen 107754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1270" cy="6221730"/>
                    </a:xfrm>
                    <a:prstGeom prst="rect">
                      <a:avLst/>
                    </a:prstGeom>
                    <a:noFill/>
                    <a:ln>
                      <a:noFill/>
                    </a:ln>
                  </pic:spPr>
                </pic:pic>
              </a:graphicData>
            </a:graphic>
          </wp:inline>
        </w:drawing>
      </w:r>
    </w:p>
    <w:p w14:paraId="53A2D527" w14:textId="2B9E18EF" w:rsidR="00565CBA" w:rsidRPr="004F06F2" w:rsidRDefault="00565CBA" w:rsidP="001C365F">
      <w:pPr>
        <w:widowControl w:val="0"/>
        <w:kinsoku w:val="0"/>
        <w:spacing w:before="0" w:after="0"/>
        <w:contextualSpacing/>
        <w:rPr>
          <w:rFonts w:eastAsia="Times New Roman" w:cs="Times New Roman"/>
          <w:color w:val="000000"/>
          <w:sz w:val="22"/>
          <w:szCs w:val="22"/>
          <w:lang w:eastAsia="es-MX"/>
        </w:rPr>
      </w:pPr>
    </w:p>
    <w:p w14:paraId="10155B2E" w14:textId="77777777" w:rsidR="00EA54ED" w:rsidRPr="004F06F2" w:rsidRDefault="00EA54ED" w:rsidP="001C365F">
      <w:pPr>
        <w:widowControl w:val="0"/>
        <w:kinsoku w:val="0"/>
        <w:spacing w:before="0" w:after="0"/>
        <w:contextualSpacing/>
        <w:rPr>
          <w:rFonts w:eastAsia="Times New Roman" w:cs="Times New Roman"/>
          <w:color w:val="000000"/>
          <w:sz w:val="22"/>
          <w:szCs w:val="22"/>
          <w:lang w:eastAsia="es-MX"/>
        </w:rPr>
      </w:pPr>
    </w:p>
    <w:p w14:paraId="17756ED9" w14:textId="77777777" w:rsidR="000674F4" w:rsidRPr="004F06F2" w:rsidRDefault="000674F4" w:rsidP="001C365F">
      <w:pPr>
        <w:widowControl w:val="0"/>
        <w:kinsoku w:val="0"/>
        <w:spacing w:before="0" w:after="0"/>
        <w:contextualSpacing/>
        <w:rPr>
          <w:rFonts w:eastAsia="Times New Roman" w:cs="Times New Roman"/>
          <w:color w:val="000000"/>
          <w:sz w:val="22"/>
          <w:szCs w:val="22"/>
          <w:lang w:eastAsia="es-MX"/>
        </w:rPr>
      </w:pPr>
    </w:p>
    <w:p w14:paraId="2EE3A6E9" w14:textId="77777777" w:rsidR="000674F4" w:rsidRPr="004F06F2" w:rsidRDefault="000674F4" w:rsidP="001C365F">
      <w:pPr>
        <w:widowControl w:val="0"/>
        <w:kinsoku w:val="0"/>
        <w:spacing w:before="0" w:after="0"/>
        <w:contextualSpacing/>
        <w:rPr>
          <w:rFonts w:eastAsia="Times New Roman" w:cs="Times New Roman"/>
          <w:color w:val="000000"/>
          <w:sz w:val="22"/>
          <w:szCs w:val="22"/>
          <w:lang w:eastAsia="es-MX"/>
        </w:rPr>
      </w:pPr>
    </w:p>
    <w:p w14:paraId="6E870212" w14:textId="77777777" w:rsidR="000674F4" w:rsidRPr="004F06F2" w:rsidRDefault="000674F4" w:rsidP="001C365F">
      <w:pPr>
        <w:widowControl w:val="0"/>
        <w:kinsoku w:val="0"/>
        <w:spacing w:before="0" w:after="0"/>
        <w:contextualSpacing/>
        <w:rPr>
          <w:rFonts w:eastAsia="Times New Roman" w:cs="Times New Roman"/>
          <w:color w:val="000000"/>
          <w:sz w:val="22"/>
          <w:szCs w:val="22"/>
          <w:lang w:eastAsia="es-MX"/>
        </w:rPr>
      </w:pPr>
    </w:p>
    <w:p w14:paraId="4C676D0A" w14:textId="77777777" w:rsidR="000674F4" w:rsidRPr="004F06F2" w:rsidRDefault="000674F4" w:rsidP="001C365F">
      <w:pPr>
        <w:widowControl w:val="0"/>
        <w:kinsoku w:val="0"/>
        <w:spacing w:before="0" w:after="0"/>
        <w:contextualSpacing/>
        <w:rPr>
          <w:rFonts w:eastAsia="Times New Roman" w:cs="Times New Roman"/>
          <w:color w:val="000000"/>
          <w:sz w:val="22"/>
          <w:szCs w:val="22"/>
          <w:lang w:eastAsia="es-MX"/>
        </w:rPr>
      </w:pPr>
    </w:p>
    <w:p w14:paraId="36CF0641" w14:textId="77777777" w:rsidR="000674F4" w:rsidRPr="004F06F2" w:rsidRDefault="000674F4" w:rsidP="001C365F">
      <w:pPr>
        <w:widowControl w:val="0"/>
        <w:kinsoku w:val="0"/>
        <w:spacing w:before="0" w:after="0"/>
        <w:contextualSpacing/>
        <w:rPr>
          <w:rFonts w:eastAsia="Times New Roman" w:cs="Times New Roman"/>
          <w:color w:val="000000"/>
          <w:sz w:val="22"/>
          <w:szCs w:val="22"/>
          <w:lang w:eastAsia="es-MX"/>
        </w:rPr>
      </w:pPr>
    </w:p>
    <w:p w14:paraId="3F2FBB7D" w14:textId="77777777" w:rsidR="000674F4" w:rsidRPr="004F06F2" w:rsidRDefault="000674F4" w:rsidP="001C365F">
      <w:pPr>
        <w:widowControl w:val="0"/>
        <w:kinsoku w:val="0"/>
        <w:spacing w:before="0" w:after="0"/>
        <w:contextualSpacing/>
        <w:rPr>
          <w:rFonts w:eastAsia="Times New Roman" w:cs="Times New Roman"/>
          <w:color w:val="000000"/>
          <w:sz w:val="22"/>
          <w:szCs w:val="22"/>
          <w:lang w:eastAsia="es-MX"/>
        </w:rPr>
      </w:pPr>
    </w:p>
    <w:p w14:paraId="1E57A76A" w14:textId="77777777" w:rsidR="00EA54ED" w:rsidRPr="004F06F2" w:rsidRDefault="00EA54ED" w:rsidP="001C365F">
      <w:pPr>
        <w:widowControl w:val="0"/>
        <w:kinsoku w:val="0"/>
        <w:spacing w:before="0" w:after="0"/>
        <w:contextualSpacing/>
        <w:rPr>
          <w:rFonts w:eastAsia="Times New Roman" w:cs="Times New Roman"/>
          <w:color w:val="000000"/>
          <w:sz w:val="22"/>
          <w:szCs w:val="22"/>
          <w:lang w:eastAsia="es-MX"/>
        </w:rPr>
      </w:pPr>
    </w:p>
    <w:p w14:paraId="7986FE63" w14:textId="669BA564" w:rsidR="00321041" w:rsidRPr="004F06F2" w:rsidRDefault="00EA54ED" w:rsidP="001C365F">
      <w:pPr>
        <w:widowControl w:val="0"/>
        <w:kinsoku w:val="0"/>
        <w:spacing w:before="0" w:after="0"/>
        <w:contextualSpacing/>
        <w:rPr>
          <w:rFonts w:eastAsia="Times New Roman" w:cs="Times New Roman"/>
          <w:color w:val="000000"/>
          <w:sz w:val="22"/>
          <w:szCs w:val="22"/>
          <w:lang w:eastAsia="es-MX"/>
        </w:rPr>
      </w:pPr>
      <w:r w:rsidRPr="004F06F2">
        <w:rPr>
          <w:rFonts w:eastAsia="Times New Roman" w:cs="Times New Roman"/>
          <w:color w:val="000000"/>
          <w:sz w:val="22"/>
          <w:szCs w:val="22"/>
          <w:lang w:eastAsia="es-MX"/>
        </w:rPr>
        <w:t>De las Inversiones a corto plazo se revelan por su tipo y monto en el siguiente cuadro:</w:t>
      </w:r>
    </w:p>
    <w:p w14:paraId="39ABDB71" w14:textId="77777777" w:rsidR="00EA54ED" w:rsidRPr="004F06F2" w:rsidRDefault="00EA54ED" w:rsidP="001C365F">
      <w:pPr>
        <w:widowControl w:val="0"/>
        <w:kinsoku w:val="0"/>
        <w:spacing w:before="0" w:after="0"/>
        <w:contextualSpacing/>
        <w:rPr>
          <w:rFonts w:eastAsia="Times New Roman" w:cs="Times New Roman"/>
          <w:color w:val="000000"/>
          <w:sz w:val="22"/>
          <w:szCs w:val="22"/>
          <w:lang w:eastAsia="es-MX"/>
        </w:rPr>
      </w:pPr>
    </w:p>
    <w:p w14:paraId="4E6AACD0" w14:textId="49BA6DDC" w:rsidR="00C94C0A" w:rsidRPr="004F06F2" w:rsidRDefault="00EA54ED" w:rsidP="00EA54ED">
      <w:pPr>
        <w:widowControl w:val="0"/>
        <w:kinsoku w:val="0"/>
        <w:spacing w:before="0" w:after="0"/>
        <w:contextualSpacing/>
        <w:jc w:val="center"/>
        <w:rPr>
          <w:rFonts w:eastAsia="Times New Roman" w:cs="Times New Roman"/>
          <w:color w:val="000000"/>
          <w:sz w:val="22"/>
          <w:szCs w:val="22"/>
          <w:lang w:eastAsia="es-MX"/>
        </w:rPr>
      </w:pPr>
      <w:r w:rsidRPr="004F06F2">
        <w:rPr>
          <w:noProof/>
          <w:lang w:val="es-MX" w:eastAsia="es-MX"/>
        </w:rPr>
        <w:drawing>
          <wp:inline distT="0" distB="0" distL="0" distR="0" wp14:anchorId="30AEBAA4" wp14:editId="2313CD5F">
            <wp:extent cx="4514850" cy="21050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14850" cy="2105025"/>
                    </a:xfrm>
                    <a:prstGeom prst="rect">
                      <a:avLst/>
                    </a:prstGeom>
                    <a:noFill/>
                    <a:ln>
                      <a:noFill/>
                    </a:ln>
                  </pic:spPr>
                </pic:pic>
              </a:graphicData>
            </a:graphic>
          </wp:inline>
        </w:drawing>
      </w:r>
    </w:p>
    <w:p w14:paraId="40B20974" w14:textId="51D05EAF" w:rsidR="00FE5E5E" w:rsidRPr="004F06F2" w:rsidRDefault="00FE5E5E" w:rsidP="00C94C0A">
      <w:pPr>
        <w:widowControl w:val="0"/>
        <w:kinsoku w:val="0"/>
        <w:spacing w:before="0" w:after="0"/>
        <w:contextualSpacing/>
        <w:jc w:val="center"/>
        <w:rPr>
          <w:rFonts w:eastAsia="Times New Roman" w:cs="Times New Roman"/>
          <w:color w:val="000000"/>
          <w:sz w:val="22"/>
          <w:szCs w:val="22"/>
          <w:lang w:eastAsia="es-MX"/>
        </w:rPr>
      </w:pPr>
    </w:p>
    <w:p w14:paraId="61560894" w14:textId="39A9EDF7" w:rsidR="00987B30" w:rsidRPr="004F06F2" w:rsidRDefault="00987B30" w:rsidP="001C365F">
      <w:pPr>
        <w:widowControl w:val="0"/>
        <w:kinsoku w:val="0"/>
        <w:spacing w:before="0" w:after="0"/>
        <w:contextualSpacing/>
        <w:rPr>
          <w:rFonts w:eastAsia="Times New Roman" w:cs="Times New Roman"/>
          <w:color w:val="000000"/>
          <w:sz w:val="22"/>
          <w:szCs w:val="22"/>
          <w:lang w:eastAsia="es-MX"/>
        </w:rPr>
      </w:pPr>
    </w:p>
    <w:p w14:paraId="58396408" w14:textId="4560B1AD" w:rsidR="00B82D70" w:rsidRPr="004F06F2" w:rsidRDefault="00B82D70" w:rsidP="00B82D70">
      <w:pPr>
        <w:spacing w:before="0" w:after="0"/>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DERECHOS A RECIBIR EFECTIVO O EQUIVALENTES</w:t>
      </w:r>
    </w:p>
    <w:p w14:paraId="413A8601" w14:textId="77777777" w:rsidR="00FE5E5E" w:rsidRPr="004F06F2" w:rsidRDefault="00FE5E5E" w:rsidP="00B82D70">
      <w:pPr>
        <w:spacing w:before="0" w:after="0"/>
        <w:rPr>
          <w:rFonts w:ascii="Arial" w:eastAsia="Times New Roman" w:hAnsi="Arial" w:cs="Arial"/>
          <w:b/>
          <w:bCs/>
          <w:color w:val="000000"/>
          <w:sz w:val="22"/>
          <w:szCs w:val="22"/>
          <w:lang w:eastAsia="es-MX"/>
        </w:rPr>
      </w:pPr>
    </w:p>
    <w:p w14:paraId="5EF5E2C7" w14:textId="7E4C3477" w:rsidR="0023083B" w:rsidRPr="004F06F2" w:rsidRDefault="0023083B" w:rsidP="00B82D70">
      <w:pPr>
        <w:spacing w:before="0" w:after="0"/>
        <w:rPr>
          <w:rFonts w:eastAsia="Times New Roman" w:cs="Times New Roman"/>
          <w:b/>
          <w:bCs/>
          <w:color w:val="000000"/>
          <w:sz w:val="22"/>
          <w:szCs w:val="22"/>
          <w:lang w:eastAsia="es-MX"/>
        </w:rPr>
      </w:pPr>
      <w:r w:rsidRPr="004F06F2">
        <w:rPr>
          <w:rFonts w:eastAsia="Times New Roman" w:cs="Times New Roman"/>
          <w:b/>
          <w:bCs/>
          <w:color w:val="000000"/>
          <w:sz w:val="22"/>
          <w:szCs w:val="22"/>
          <w:lang w:eastAsia="es-MX"/>
        </w:rPr>
        <w:t>2. CUENTAS PENDIENTES DE COBRO</w:t>
      </w:r>
    </w:p>
    <w:p w14:paraId="7D33A0F0" w14:textId="77777777" w:rsidR="00FE5E5E" w:rsidRPr="004F06F2" w:rsidRDefault="00FE5E5E" w:rsidP="00B82D70">
      <w:pPr>
        <w:spacing w:before="0" w:after="0"/>
        <w:rPr>
          <w:rFonts w:eastAsia="Times New Roman" w:cs="Times New Roman"/>
          <w:b/>
          <w:bCs/>
          <w:color w:val="000000"/>
          <w:sz w:val="22"/>
          <w:szCs w:val="22"/>
          <w:lang w:eastAsia="es-MX"/>
        </w:rPr>
      </w:pPr>
    </w:p>
    <w:p w14:paraId="0794EEE7" w14:textId="681F21FE" w:rsidR="0023083B" w:rsidRPr="004F06F2" w:rsidRDefault="00E7156D" w:rsidP="00B82D70">
      <w:pPr>
        <w:spacing w:before="0" w:after="0"/>
        <w:rPr>
          <w:rFonts w:eastAsia="Times New Roman" w:cs="Times New Roman"/>
          <w:color w:val="000000"/>
          <w:sz w:val="22"/>
          <w:szCs w:val="22"/>
          <w:lang w:eastAsia="es-MX"/>
        </w:rPr>
      </w:pPr>
      <w:r w:rsidRPr="004F06F2">
        <w:rPr>
          <w:rFonts w:eastAsia="Times New Roman" w:cs="Times New Roman"/>
          <w:color w:val="000000"/>
          <w:sz w:val="22"/>
          <w:szCs w:val="22"/>
          <w:lang w:eastAsia="es-MX"/>
        </w:rPr>
        <w:t>El rubro de cuentas por cobrar se encuentra en proceso de depuración, sin embargo, se destacan los montos, hasta cinco años, de los procesos judiciales de cobro y por responsabilidades administrativas.</w:t>
      </w:r>
    </w:p>
    <w:p w14:paraId="0D6805D6" w14:textId="20234588" w:rsidR="00E71FFE" w:rsidRPr="004F06F2" w:rsidRDefault="00673853" w:rsidP="00AC0860">
      <w:pPr>
        <w:spacing w:before="0" w:after="0"/>
        <w:jc w:val="center"/>
        <w:rPr>
          <w:rFonts w:eastAsia="Times New Roman" w:cs="Times New Roman"/>
          <w:color w:val="000000"/>
          <w:sz w:val="22"/>
          <w:szCs w:val="22"/>
          <w:lang w:eastAsia="es-MX"/>
        </w:rPr>
      </w:pPr>
      <w:r w:rsidRPr="004F06F2">
        <w:rPr>
          <w:noProof/>
          <w:lang w:val="es-MX" w:eastAsia="es-MX"/>
        </w:rPr>
        <w:drawing>
          <wp:inline distT="0" distB="0" distL="0" distR="0" wp14:anchorId="5B541C74" wp14:editId="11D1291F">
            <wp:extent cx="2096135" cy="1466215"/>
            <wp:effectExtent l="0" t="0" r="0" b="635"/>
            <wp:docPr id="107754561" name="Imagen 107754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96135" cy="1466215"/>
                    </a:xfrm>
                    <a:prstGeom prst="rect">
                      <a:avLst/>
                    </a:prstGeom>
                    <a:noFill/>
                    <a:ln>
                      <a:noFill/>
                    </a:ln>
                  </pic:spPr>
                </pic:pic>
              </a:graphicData>
            </a:graphic>
          </wp:inline>
        </w:drawing>
      </w:r>
    </w:p>
    <w:p w14:paraId="3CE15AA3" w14:textId="4B42E682" w:rsidR="00B931C8" w:rsidRPr="004F06F2" w:rsidRDefault="00B931C8" w:rsidP="00AC0860">
      <w:pPr>
        <w:spacing w:before="0" w:after="0"/>
        <w:jc w:val="center"/>
        <w:rPr>
          <w:rFonts w:eastAsia="Times New Roman" w:cs="Times New Roman"/>
          <w:color w:val="000000"/>
          <w:sz w:val="22"/>
          <w:szCs w:val="22"/>
          <w:lang w:eastAsia="es-MX"/>
        </w:rPr>
      </w:pPr>
    </w:p>
    <w:p w14:paraId="2CBF6864" w14:textId="36D57C41" w:rsidR="00B82D70" w:rsidRPr="004F06F2" w:rsidRDefault="0023083B" w:rsidP="00B82D70">
      <w:pPr>
        <w:spacing w:before="0" w:after="0"/>
        <w:rPr>
          <w:rFonts w:eastAsia="Times New Roman" w:cs="Times New Roman"/>
          <w:b/>
          <w:bCs/>
          <w:color w:val="000000"/>
          <w:sz w:val="22"/>
          <w:szCs w:val="22"/>
          <w:lang w:eastAsia="es-MX"/>
        </w:rPr>
      </w:pPr>
      <w:r w:rsidRPr="004F06F2">
        <w:rPr>
          <w:rFonts w:eastAsia="Times New Roman" w:cs="Times New Roman"/>
          <w:b/>
          <w:bCs/>
          <w:color w:val="000000"/>
          <w:sz w:val="22"/>
          <w:szCs w:val="22"/>
          <w:lang w:eastAsia="es-MX"/>
        </w:rPr>
        <w:t>3</w:t>
      </w:r>
      <w:r w:rsidR="00605B6D" w:rsidRPr="004F06F2">
        <w:rPr>
          <w:rFonts w:eastAsia="Times New Roman" w:cs="Times New Roman"/>
          <w:b/>
          <w:bCs/>
          <w:color w:val="000000"/>
          <w:sz w:val="22"/>
          <w:szCs w:val="22"/>
          <w:lang w:eastAsia="es-MX"/>
        </w:rPr>
        <w:t>. POR TIPO DE CONTRIBUCIÓN</w:t>
      </w:r>
    </w:p>
    <w:p w14:paraId="08713693" w14:textId="584F8E72" w:rsidR="00C44740" w:rsidRPr="004F06F2" w:rsidRDefault="00B82D70" w:rsidP="00987B30">
      <w:pPr>
        <w:widowControl w:val="0"/>
        <w:kinsoku w:val="0"/>
        <w:spacing w:before="0" w:after="0"/>
        <w:contextualSpacing/>
        <w:rPr>
          <w:rFonts w:eastAsia="Times New Roman" w:cs="Times New Roman"/>
          <w:color w:val="000000"/>
          <w:sz w:val="22"/>
          <w:szCs w:val="22"/>
          <w:lang w:eastAsia="es-MX"/>
        </w:rPr>
      </w:pPr>
      <w:r w:rsidRPr="004F06F2">
        <w:rPr>
          <w:rFonts w:eastAsia="Times New Roman" w:cs="Times New Roman"/>
          <w:color w:val="000000"/>
          <w:sz w:val="22"/>
          <w:szCs w:val="22"/>
          <w:lang w:eastAsia="es-MX"/>
        </w:rPr>
        <w:t xml:space="preserve">El saldo del rubro al </w:t>
      </w:r>
      <w:r w:rsidR="00053575" w:rsidRPr="004F06F2">
        <w:rPr>
          <w:rFonts w:eastAsia="Times New Roman" w:cs="Times New Roman"/>
          <w:color w:val="000000"/>
          <w:sz w:val="22"/>
          <w:szCs w:val="22"/>
          <w:lang w:eastAsia="es-MX"/>
        </w:rPr>
        <w:t xml:space="preserve">31 de </w:t>
      </w:r>
      <w:r w:rsidR="004745CF" w:rsidRPr="004F06F2">
        <w:rPr>
          <w:rFonts w:eastAsia="Times New Roman" w:cs="Times New Roman"/>
          <w:color w:val="000000"/>
          <w:sz w:val="22"/>
          <w:szCs w:val="22"/>
          <w:lang w:eastAsia="es-MX"/>
        </w:rPr>
        <w:t>marzo</w:t>
      </w:r>
      <w:r w:rsidR="003C1B12" w:rsidRPr="004F06F2">
        <w:rPr>
          <w:rFonts w:eastAsia="Times New Roman" w:cs="Times New Roman"/>
          <w:color w:val="000000"/>
          <w:sz w:val="22"/>
          <w:szCs w:val="22"/>
          <w:lang w:eastAsia="es-MX"/>
        </w:rPr>
        <w:t xml:space="preserve"> </w:t>
      </w:r>
      <w:r w:rsidRPr="004F06F2">
        <w:rPr>
          <w:rFonts w:eastAsia="Times New Roman" w:cs="Times New Roman"/>
          <w:color w:val="000000"/>
          <w:sz w:val="22"/>
          <w:szCs w:val="22"/>
          <w:lang w:eastAsia="es-MX"/>
        </w:rPr>
        <w:t>de 202</w:t>
      </w:r>
      <w:r w:rsidR="004745CF" w:rsidRPr="004F06F2">
        <w:rPr>
          <w:rFonts w:eastAsia="Times New Roman" w:cs="Times New Roman"/>
          <w:color w:val="000000"/>
          <w:sz w:val="22"/>
          <w:szCs w:val="22"/>
          <w:lang w:eastAsia="es-MX"/>
        </w:rPr>
        <w:t>4</w:t>
      </w:r>
      <w:r w:rsidRPr="004F06F2">
        <w:rPr>
          <w:rFonts w:eastAsia="Times New Roman" w:cs="Times New Roman"/>
          <w:color w:val="000000"/>
          <w:sz w:val="22"/>
          <w:szCs w:val="22"/>
          <w:lang w:eastAsia="es-MX"/>
        </w:rPr>
        <w:t xml:space="preserve">, por </w:t>
      </w:r>
      <w:r w:rsidR="00362EEC" w:rsidRPr="004F06F2">
        <w:rPr>
          <w:rFonts w:eastAsia="Times New Roman" w:cs="Times New Roman"/>
          <w:color w:val="000000"/>
          <w:sz w:val="22"/>
          <w:szCs w:val="22"/>
          <w:lang w:eastAsia="es-MX"/>
        </w:rPr>
        <w:t>3</w:t>
      </w:r>
      <w:r w:rsidR="002F7EA8" w:rsidRPr="004F06F2">
        <w:rPr>
          <w:rFonts w:eastAsia="Times New Roman" w:cs="Times New Roman"/>
          <w:color w:val="000000"/>
          <w:sz w:val="22"/>
          <w:szCs w:val="22"/>
          <w:lang w:eastAsia="es-MX"/>
        </w:rPr>
        <w:t xml:space="preserve"> mil </w:t>
      </w:r>
      <w:r w:rsidR="00362EEC" w:rsidRPr="004F06F2">
        <w:rPr>
          <w:rFonts w:eastAsia="Times New Roman" w:cs="Times New Roman"/>
          <w:color w:val="000000"/>
          <w:sz w:val="22"/>
          <w:szCs w:val="22"/>
          <w:lang w:eastAsia="es-MX"/>
        </w:rPr>
        <w:t xml:space="preserve">524 </w:t>
      </w:r>
      <w:r w:rsidRPr="004F06F2">
        <w:rPr>
          <w:rFonts w:eastAsia="Times New Roman" w:cs="Times New Roman"/>
          <w:color w:val="000000"/>
          <w:sz w:val="22"/>
          <w:szCs w:val="22"/>
          <w:lang w:eastAsia="es-MX"/>
        </w:rPr>
        <w:t xml:space="preserve">millones </w:t>
      </w:r>
      <w:r w:rsidR="00362EEC" w:rsidRPr="004F06F2">
        <w:rPr>
          <w:rFonts w:eastAsia="Times New Roman" w:cs="Times New Roman"/>
          <w:color w:val="000000"/>
          <w:sz w:val="22"/>
          <w:szCs w:val="22"/>
          <w:lang w:eastAsia="es-MX"/>
        </w:rPr>
        <w:t>121</w:t>
      </w:r>
      <w:r w:rsidR="0023083B" w:rsidRPr="004F06F2">
        <w:rPr>
          <w:rFonts w:eastAsia="Times New Roman" w:cs="Times New Roman"/>
          <w:color w:val="000000"/>
          <w:sz w:val="22"/>
          <w:szCs w:val="22"/>
          <w:lang w:eastAsia="es-MX"/>
        </w:rPr>
        <w:t xml:space="preserve"> </w:t>
      </w:r>
      <w:r w:rsidRPr="004F06F2">
        <w:rPr>
          <w:rFonts w:eastAsia="Times New Roman" w:cs="Times New Roman"/>
          <w:color w:val="000000"/>
          <w:sz w:val="22"/>
          <w:szCs w:val="22"/>
          <w:lang w:eastAsia="es-MX"/>
        </w:rPr>
        <w:t xml:space="preserve">mil </w:t>
      </w:r>
      <w:r w:rsidR="00362EEC" w:rsidRPr="004F06F2">
        <w:rPr>
          <w:rFonts w:eastAsia="Times New Roman" w:cs="Times New Roman"/>
          <w:color w:val="000000"/>
          <w:sz w:val="22"/>
          <w:szCs w:val="22"/>
          <w:lang w:eastAsia="es-MX"/>
        </w:rPr>
        <w:t>144</w:t>
      </w:r>
      <w:r w:rsidRPr="004F06F2">
        <w:rPr>
          <w:rFonts w:eastAsia="Times New Roman" w:cs="Times New Roman"/>
          <w:color w:val="000000"/>
          <w:sz w:val="22"/>
          <w:szCs w:val="22"/>
          <w:lang w:eastAsia="es-MX"/>
        </w:rPr>
        <w:t xml:space="preserve"> pesos, se encuentra integrado por diversas cuentas cuya característica es que son recuperables en el corto plazo originados en el desarrollo en las actividades de los </w:t>
      </w:r>
      <w:r w:rsidR="00F073C1" w:rsidRPr="004F06F2">
        <w:rPr>
          <w:rFonts w:eastAsia="Times New Roman" w:cs="Times New Roman"/>
          <w:color w:val="000000"/>
          <w:sz w:val="22"/>
          <w:szCs w:val="22"/>
          <w:lang w:eastAsia="es-MX"/>
        </w:rPr>
        <w:t>E</w:t>
      </w:r>
      <w:r w:rsidRPr="004F06F2">
        <w:rPr>
          <w:rFonts w:eastAsia="Times New Roman" w:cs="Times New Roman"/>
          <w:color w:val="000000"/>
          <w:sz w:val="22"/>
          <w:szCs w:val="22"/>
          <w:lang w:eastAsia="es-MX"/>
        </w:rPr>
        <w:t xml:space="preserve">ntes </w:t>
      </w:r>
      <w:r w:rsidR="00F073C1" w:rsidRPr="004F06F2">
        <w:rPr>
          <w:rFonts w:eastAsia="Times New Roman" w:cs="Times New Roman"/>
          <w:color w:val="000000"/>
          <w:sz w:val="22"/>
          <w:szCs w:val="22"/>
          <w:lang w:eastAsia="es-MX"/>
        </w:rPr>
        <w:t>P</w:t>
      </w:r>
      <w:r w:rsidRPr="004F06F2">
        <w:rPr>
          <w:rFonts w:eastAsia="Times New Roman" w:cs="Times New Roman"/>
          <w:color w:val="000000"/>
          <w:sz w:val="22"/>
          <w:szCs w:val="22"/>
          <w:lang w:eastAsia="es-MX"/>
        </w:rPr>
        <w:t>úblicos, por la</w:t>
      </w:r>
      <w:r w:rsidR="00BE4DE3" w:rsidRPr="004F06F2">
        <w:rPr>
          <w:rFonts w:eastAsia="Times New Roman" w:cs="Times New Roman"/>
          <w:color w:val="000000"/>
          <w:sz w:val="22"/>
          <w:szCs w:val="22"/>
          <w:lang w:eastAsia="es-MX"/>
        </w:rPr>
        <w:t>s</w:t>
      </w:r>
      <w:r w:rsidRPr="004F06F2">
        <w:rPr>
          <w:rFonts w:eastAsia="Times New Roman" w:cs="Times New Roman"/>
          <w:color w:val="000000"/>
          <w:sz w:val="22"/>
          <w:szCs w:val="22"/>
          <w:lang w:eastAsia="es-MX"/>
        </w:rPr>
        <w:t xml:space="preserve"> cuales se espera recibir una </w:t>
      </w:r>
      <w:r w:rsidRPr="004F06F2">
        <w:rPr>
          <w:rFonts w:eastAsia="Times New Roman" w:cs="Times New Roman"/>
          <w:color w:val="000000"/>
          <w:sz w:val="22"/>
          <w:szCs w:val="22"/>
          <w:lang w:eastAsia="es-MX"/>
        </w:rPr>
        <w:lastRenderedPageBreak/>
        <w:t>contraprestación representada en recursos, bienes o servicio, es decir, que aun cuando no son efectivo, serán recuperables en el transcurso del año, a continuación, se muestra su integración:</w:t>
      </w:r>
    </w:p>
    <w:p w14:paraId="340FA2C0" w14:textId="21CEB8C4" w:rsidR="00F91988" w:rsidRPr="004F06F2" w:rsidRDefault="00362EEC" w:rsidP="00072C3D">
      <w:pPr>
        <w:widowControl w:val="0"/>
        <w:kinsoku w:val="0"/>
        <w:spacing w:before="120" w:after="120"/>
        <w:contextualSpacing/>
        <w:rPr>
          <w:rFonts w:eastAsia="Times New Roman" w:cs="Times New Roman"/>
          <w:b/>
          <w:color w:val="000000"/>
          <w:sz w:val="22"/>
          <w:szCs w:val="22"/>
          <w:lang w:eastAsia="es-MX"/>
        </w:rPr>
      </w:pPr>
      <w:r w:rsidRPr="004F06F2">
        <w:rPr>
          <w:noProof/>
          <w:lang w:val="es-MX" w:eastAsia="es-MX"/>
        </w:rPr>
        <w:drawing>
          <wp:inline distT="0" distB="0" distL="0" distR="0" wp14:anchorId="4D84EF5D" wp14:editId="7D444F98">
            <wp:extent cx="6351270" cy="911380"/>
            <wp:effectExtent l="0" t="0" r="0" b="3175"/>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1270" cy="911380"/>
                    </a:xfrm>
                    <a:prstGeom prst="rect">
                      <a:avLst/>
                    </a:prstGeom>
                    <a:noFill/>
                    <a:ln>
                      <a:noFill/>
                    </a:ln>
                  </pic:spPr>
                </pic:pic>
              </a:graphicData>
            </a:graphic>
          </wp:inline>
        </w:drawing>
      </w:r>
    </w:p>
    <w:p w14:paraId="733CF44D" w14:textId="7A474C70" w:rsidR="00B82D70" w:rsidRPr="004F06F2" w:rsidRDefault="00B82D70" w:rsidP="00B82D70">
      <w:pPr>
        <w:widowControl w:val="0"/>
        <w:kinsoku w:val="0"/>
        <w:spacing w:before="120" w:after="120"/>
        <w:ind w:left="426"/>
        <w:contextualSpacing/>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Cuentas por cobrar a corto plazo:</w:t>
      </w:r>
    </w:p>
    <w:p w14:paraId="1F50DC79" w14:textId="66B14400" w:rsidR="00B82D70" w:rsidRPr="004F06F2" w:rsidRDefault="00B82D70">
      <w:pPr>
        <w:widowControl w:val="0"/>
        <w:numPr>
          <w:ilvl w:val="0"/>
          <w:numId w:val="2"/>
        </w:numPr>
        <w:spacing w:before="120" w:after="120"/>
        <w:ind w:left="1418" w:hanging="425"/>
        <w:rPr>
          <w:rFonts w:eastAsia="Times New Roman" w:cs="Times New Roman"/>
          <w:sz w:val="22"/>
          <w:szCs w:val="22"/>
          <w:lang w:eastAsia="es-MX"/>
        </w:rPr>
      </w:pPr>
      <w:r w:rsidRPr="004F06F2">
        <w:rPr>
          <w:rFonts w:eastAsia="Times New Roman" w:cs="Times New Roman"/>
          <w:sz w:val="22"/>
          <w:szCs w:val="22"/>
          <w:lang w:eastAsia="es-MX"/>
        </w:rPr>
        <w:t xml:space="preserve">Estas cuentas reflejan el saldo de los ingresos federales devengados a favor del Estado conforme a lo establecido por la Ley General de Contabilidad Gubernamental, que al cierre del </w:t>
      </w:r>
      <w:r w:rsidR="00E96963" w:rsidRPr="004F06F2">
        <w:rPr>
          <w:rFonts w:eastAsia="Times New Roman" w:cs="Times New Roman"/>
          <w:sz w:val="22"/>
          <w:szCs w:val="22"/>
          <w:lang w:eastAsia="es-MX"/>
        </w:rPr>
        <w:t>trimestre</w:t>
      </w:r>
      <w:r w:rsidRPr="004F06F2">
        <w:rPr>
          <w:rFonts w:eastAsia="Times New Roman" w:cs="Times New Roman"/>
          <w:sz w:val="22"/>
          <w:szCs w:val="22"/>
          <w:lang w:eastAsia="es-MX"/>
        </w:rPr>
        <w:t xml:space="preserve"> se encuentran en trámite de recaudación.</w:t>
      </w:r>
    </w:p>
    <w:p w14:paraId="7C26CCBE" w14:textId="37ADC8AF" w:rsidR="00B82D70" w:rsidRPr="004F06F2" w:rsidRDefault="00B82D70" w:rsidP="00B82D70">
      <w:pPr>
        <w:widowControl w:val="0"/>
        <w:kinsoku w:val="0"/>
        <w:spacing w:before="0" w:after="0"/>
        <w:ind w:left="426"/>
        <w:contextualSpacing/>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 xml:space="preserve">Deudores Diversos por cobrar a corto plazo: </w:t>
      </w:r>
    </w:p>
    <w:p w14:paraId="0E4D16D7" w14:textId="022AAF02" w:rsidR="00C44740" w:rsidRPr="004F06F2" w:rsidRDefault="00B82D70" w:rsidP="003E2C2C">
      <w:pPr>
        <w:widowControl w:val="0"/>
        <w:numPr>
          <w:ilvl w:val="0"/>
          <w:numId w:val="2"/>
        </w:numPr>
        <w:spacing w:before="0" w:after="0"/>
        <w:ind w:left="1495"/>
        <w:rPr>
          <w:rFonts w:eastAsia="Times New Roman" w:cs="Times New Roman"/>
          <w:sz w:val="22"/>
          <w:szCs w:val="22"/>
          <w:lang w:eastAsia="es-MX"/>
        </w:rPr>
      </w:pPr>
      <w:r w:rsidRPr="004F06F2">
        <w:rPr>
          <w:rFonts w:eastAsia="Times New Roman" w:cs="Times New Roman"/>
          <w:sz w:val="22"/>
          <w:szCs w:val="22"/>
          <w:lang w:eastAsia="es-MX"/>
        </w:rPr>
        <w:t>El saldo de este rubro, lo constituyen los préstamos que adeudan las distintas Unidades Programáticas Presupuestarias a cuenta de su presupuesto</w:t>
      </w:r>
      <w:r w:rsidR="00485F96" w:rsidRPr="004F06F2">
        <w:rPr>
          <w:rFonts w:eastAsia="Times New Roman" w:cs="Times New Roman"/>
          <w:sz w:val="22"/>
          <w:szCs w:val="22"/>
          <w:lang w:eastAsia="es-MX"/>
        </w:rPr>
        <w:t xml:space="preserve"> a través de documentos de pago provisionales y que no han regularizado, </w:t>
      </w:r>
      <w:r w:rsidRPr="004F06F2">
        <w:rPr>
          <w:rFonts w:eastAsia="Times New Roman" w:cs="Times New Roman"/>
          <w:sz w:val="22"/>
          <w:szCs w:val="22"/>
          <w:lang w:eastAsia="es-MX"/>
        </w:rPr>
        <w:t>así mismo, se incluyen en este mismo rubro, los adeudos por descuentos que la Federación hace al Estado de sus participaciones Federales</w:t>
      </w:r>
      <w:r w:rsidR="00E52CD9" w:rsidRPr="004F06F2">
        <w:rPr>
          <w:rFonts w:eastAsia="Times New Roman" w:cs="Times New Roman"/>
          <w:sz w:val="22"/>
          <w:szCs w:val="22"/>
          <w:lang w:eastAsia="es-MX"/>
        </w:rPr>
        <w:t>,</w:t>
      </w:r>
      <w:r w:rsidRPr="004F06F2">
        <w:rPr>
          <w:rFonts w:eastAsia="Times New Roman" w:cs="Times New Roman"/>
          <w:sz w:val="22"/>
          <w:szCs w:val="22"/>
          <w:lang w:eastAsia="es-MX"/>
        </w:rPr>
        <w:t xml:space="preserve"> por adeudos al Instituto Mexicano del Seguro Social y al </w:t>
      </w:r>
      <w:r w:rsidRPr="004F06F2">
        <w:rPr>
          <w:rFonts w:eastAsia="Calibri" w:cs="Times New Roman"/>
          <w:color w:val="000000"/>
          <w:sz w:val="22"/>
          <w:szCs w:val="22"/>
        </w:rPr>
        <w:t>Instituto de Seguridad y Servicios Sociales de los Trabajadores del Estado</w:t>
      </w:r>
      <w:r w:rsidR="00E52CD9" w:rsidRPr="004F06F2">
        <w:rPr>
          <w:rFonts w:eastAsia="Calibri" w:cs="Times New Roman"/>
          <w:color w:val="000000"/>
          <w:sz w:val="22"/>
          <w:szCs w:val="22"/>
        </w:rPr>
        <w:t>,</w:t>
      </w:r>
      <w:r w:rsidRPr="004F06F2">
        <w:rPr>
          <w:rFonts w:eastAsia="Times New Roman" w:cs="Times New Roman"/>
          <w:sz w:val="22"/>
          <w:szCs w:val="22"/>
          <w:lang w:eastAsia="es-MX"/>
        </w:rPr>
        <w:t xml:space="preserve"> </w:t>
      </w:r>
      <w:r w:rsidR="00E52CD9" w:rsidRPr="004F06F2">
        <w:rPr>
          <w:rFonts w:eastAsia="Times New Roman" w:cs="Times New Roman"/>
          <w:sz w:val="22"/>
          <w:szCs w:val="22"/>
          <w:lang w:eastAsia="es-MX"/>
        </w:rPr>
        <w:t>de las entidades y municipios,</w:t>
      </w:r>
      <w:r w:rsidRPr="004F06F2">
        <w:rPr>
          <w:rFonts w:eastAsia="Times New Roman" w:cs="Times New Roman"/>
          <w:sz w:val="22"/>
          <w:szCs w:val="22"/>
          <w:lang w:eastAsia="es-MX"/>
        </w:rPr>
        <w:t xml:space="preserve"> y que al </w:t>
      </w:r>
      <w:r w:rsidR="00053575" w:rsidRPr="004F06F2">
        <w:rPr>
          <w:rFonts w:eastAsia="Times New Roman" w:cs="Times New Roman"/>
          <w:sz w:val="22"/>
          <w:szCs w:val="22"/>
          <w:lang w:eastAsia="es-MX"/>
        </w:rPr>
        <w:t xml:space="preserve">31 de </w:t>
      </w:r>
      <w:r w:rsidR="00362EEC" w:rsidRPr="004F06F2">
        <w:rPr>
          <w:rFonts w:eastAsia="Times New Roman" w:cs="Times New Roman"/>
          <w:sz w:val="22"/>
          <w:szCs w:val="22"/>
          <w:lang w:eastAsia="es-MX"/>
        </w:rPr>
        <w:t>marzo</w:t>
      </w:r>
      <w:r w:rsidRPr="004F06F2">
        <w:rPr>
          <w:rFonts w:eastAsia="Times New Roman" w:cs="Times New Roman"/>
          <w:sz w:val="22"/>
          <w:szCs w:val="22"/>
          <w:lang w:eastAsia="es-MX"/>
        </w:rPr>
        <w:t xml:space="preserve"> de 202</w:t>
      </w:r>
      <w:r w:rsidR="00362EEC" w:rsidRPr="004F06F2">
        <w:rPr>
          <w:rFonts w:eastAsia="Times New Roman" w:cs="Times New Roman"/>
          <w:sz w:val="22"/>
          <w:szCs w:val="22"/>
          <w:lang w:eastAsia="es-MX"/>
        </w:rPr>
        <w:t>4</w:t>
      </w:r>
      <w:r w:rsidRPr="004F06F2">
        <w:rPr>
          <w:rFonts w:eastAsia="Times New Roman" w:cs="Times New Roman"/>
          <w:sz w:val="22"/>
          <w:szCs w:val="22"/>
          <w:lang w:eastAsia="es-MX"/>
        </w:rPr>
        <w:t xml:space="preserve"> no regularizaron, además, de los adeudos de terceros comerciales por concepto de cheques cancelados de nóminas.</w:t>
      </w:r>
    </w:p>
    <w:p w14:paraId="11A39D9B" w14:textId="153476D0" w:rsidR="00C0303A" w:rsidRPr="004F06F2" w:rsidRDefault="00B82D70" w:rsidP="00072C3D">
      <w:pPr>
        <w:widowControl w:val="0"/>
        <w:numPr>
          <w:ilvl w:val="0"/>
          <w:numId w:val="2"/>
        </w:numPr>
        <w:spacing w:before="0" w:after="0"/>
        <w:ind w:left="1418" w:hanging="425"/>
        <w:rPr>
          <w:sz w:val="22"/>
          <w:szCs w:val="22"/>
        </w:rPr>
      </w:pPr>
      <w:r w:rsidRPr="004F06F2">
        <w:rPr>
          <w:rFonts w:eastAsia="Times New Roman" w:cs="Times New Roman"/>
          <w:sz w:val="22"/>
          <w:szCs w:val="22"/>
          <w:lang w:eastAsia="es-MX"/>
        </w:rPr>
        <w:t>En esta cuenta, se reflejan también los saldos de los recursos transferidos del Ramo 33 y de acuerdo con la Ley de Coordinación Fiscal, se entregan a las dependencias, entidades y organismos, para los programas establecidos para ese ramo específico y cuya aplicación se encuentra pendiente de comprobar.</w:t>
      </w:r>
    </w:p>
    <w:p w14:paraId="15E1B662" w14:textId="77777777" w:rsidR="00B82D70" w:rsidRPr="004F06F2" w:rsidRDefault="00B82D70" w:rsidP="00072C3D">
      <w:pPr>
        <w:widowControl w:val="0"/>
        <w:numPr>
          <w:ilvl w:val="0"/>
          <w:numId w:val="2"/>
        </w:numPr>
        <w:kinsoku w:val="0"/>
        <w:spacing w:before="0" w:after="0"/>
        <w:ind w:left="1418" w:hanging="425"/>
        <w:contextualSpacing/>
        <w:rPr>
          <w:rFonts w:eastAsia="Times New Roman" w:cs="Times New Roman"/>
          <w:sz w:val="22"/>
          <w:szCs w:val="22"/>
          <w:lang w:eastAsia="es-MX"/>
        </w:rPr>
      </w:pPr>
      <w:r w:rsidRPr="004F06F2">
        <w:rPr>
          <w:rFonts w:eastAsia="Times New Roman" w:cs="Times New Roman"/>
          <w:sz w:val="22"/>
          <w:szCs w:val="22"/>
          <w:lang w:eastAsia="es-MX"/>
        </w:rPr>
        <w:t>De igual manera, se registran en esta cuenta las responsabilidades pendientes de solventar por parte de los funcionarios de la Administración Pública Estatal, responsables de la recaudación y el manejo de fondos.</w:t>
      </w:r>
    </w:p>
    <w:p w14:paraId="42D7D12B" w14:textId="64AFD5DD" w:rsidR="00B82D70" w:rsidRPr="004F06F2" w:rsidRDefault="00B82D70" w:rsidP="00072C3D">
      <w:pPr>
        <w:widowControl w:val="0"/>
        <w:kinsoku w:val="0"/>
        <w:spacing w:before="120" w:after="120"/>
        <w:ind w:left="426"/>
        <w:contextualSpacing/>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Ingresos por recuperar a corto plazo:</w:t>
      </w:r>
    </w:p>
    <w:p w14:paraId="0C118EEA" w14:textId="5642A29A" w:rsidR="00B82D70" w:rsidRPr="004F06F2" w:rsidRDefault="00B82D70" w:rsidP="00072C3D">
      <w:pPr>
        <w:widowControl w:val="0"/>
        <w:numPr>
          <w:ilvl w:val="0"/>
          <w:numId w:val="2"/>
        </w:numPr>
        <w:spacing w:before="120" w:after="120"/>
        <w:ind w:left="1418" w:hanging="425"/>
        <w:rPr>
          <w:rFonts w:eastAsia="Times New Roman" w:cs="Times New Roman"/>
          <w:sz w:val="22"/>
          <w:szCs w:val="22"/>
          <w:lang w:eastAsia="es-MX"/>
        </w:rPr>
      </w:pPr>
      <w:r w:rsidRPr="004F06F2">
        <w:rPr>
          <w:rFonts w:eastAsia="Times New Roman" w:cs="Times New Roman"/>
          <w:sz w:val="22"/>
          <w:szCs w:val="22"/>
          <w:lang w:eastAsia="es-MX"/>
        </w:rPr>
        <w:lastRenderedPageBreak/>
        <w:t>Esta cuenta, refleja el saldo de los ingresos estatales devengados a favor del Estado conforme a lo establecido por la Ley General de Contabilidad Gubernamental que, al cierre del período, se encuentran en trámite de recaudación.</w:t>
      </w:r>
    </w:p>
    <w:p w14:paraId="18A47084" w14:textId="0675F26A" w:rsidR="00B82D70" w:rsidRPr="004F06F2" w:rsidRDefault="00B82D70" w:rsidP="00072C3D">
      <w:pPr>
        <w:widowControl w:val="0"/>
        <w:kinsoku w:val="0"/>
        <w:spacing w:before="0" w:after="0"/>
        <w:ind w:left="426"/>
        <w:contextualSpacing/>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Deudores por anticipos</w:t>
      </w:r>
      <w:r w:rsidR="006918EB" w:rsidRPr="004F06F2">
        <w:rPr>
          <w:rFonts w:eastAsia="Times New Roman" w:cs="Times New Roman"/>
          <w:b/>
          <w:color w:val="000000"/>
          <w:sz w:val="22"/>
          <w:szCs w:val="22"/>
          <w:lang w:eastAsia="es-MX"/>
        </w:rPr>
        <w:t xml:space="preserve"> de Tesorería</w:t>
      </w:r>
      <w:r w:rsidRPr="004F06F2">
        <w:rPr>
          <w:rFonts w:eastAsia="Times New Roman" w:cs="Times New Roman"/>
          <w:b/>
          <w:color w:val="000000"/>
          <w:sz w:val="22"/>
          <w:szCs w:val="22"/>
          <w:lang w:eastAsia="es-MX"/>
        </w:rPr>
        <w:t xml:space="preserve"> a corto plazo:</w:t>
      </w:r>
    </w:p>
    <w:p w14:paraId="190EC017" w14:textId="761D3891" w:rsidR="00B82D70" w:rsidRPr="004F06F2" w:rsidRDefault="00B82D70" w:rsidP="00072C3D">
      <w:pPr>
        <w:pStyle w:val="Prrafodelista"/>
        <w:numPr>
          <w:ilvl w:val="0"/>
          <w:numId w:val="2"/>
        </w:numPr>
        <w:spacing w:line="360" w:lineRule="auto"/>
        <w:jc w:val="both"/>
        <w:rPr>
          <w:rFonts w:ascii="GalanoGrotesque-Light" w:hAnsi="GalanoGrotesque-Light"/>
          <w:sz w:val="22"/>
          <w:szCs w:val="22"/>
          <w:lang w:val="es-MX"/>
        </w:rPr>
      </w:pPr>
      <w:r w:rsidRPr="004F06F2">
        <w:rPr>
          <w:rFonts w:ascii="GalanoGrotesque-Light" w:hAnsi="GalanoGrotesque-Light"/>
          <w:sz w:val="22"/>
          <w:szCs w:val="22"/>
          <w:lang w:val="es-MX"/>
        </w:rPr>
        <w:t>Corresponde a los fondos revolventes asignados a las dependencias para su operación.</w:t>
      </w:r>
    </w:p>
    <w:p w14:paraId="65EBFBB5" w14:textId="0ABFA4AE" w:rsidR="00B82D70" w:rsidRPr="004F06F2" w:rsidRDefault="00B82D70" w:rsidP="00072C3D">
      <w:pPr>
        <w:widowControl w:val="0"/>
        <w:kinsoku w:val="0"/>
        <w:spacing w:before="0" w:after="0"/>
        <w:ind w:left="426"/>
        <w:contextualSpacing/>
        <w:rPr>
          <w:rFonts w:eastAsia="Times New Roman" w:cs="Times New Roman"/>
          <w:b/>
          <w:sz w:val="22"/>
          <w:szCs w:val="22"/>
          <w:lang w:eastAsia="es-MX"/>
        </w:rPr>
      </w:pPr>
      <w:r w:rsidRPr="004F06F2">
        <w:rPr>
          <w:rFonts w:eastAsia="Times New Roman" w:cs="Times New Roman"/>
          <w:b/>
          <w:sz w:val="22"/>
          <w:szCs w:val="22"/>
          <w:lang w:eastAsia="es-MX"/>
        </w:rPr>
        <w:t>Préstamos otorgados a corto plazo:</w:t>
      </w:r>
    </w:p>
    <w:p w14:paraId="6FF60A2F" w14:textId="478D5346" w:rsidR="00B82D70" w:rsidRPr="004F06F2" w:rsidRDefault="00B82D70" w:rsidP="00072C3D">
      <w:pPr>
        <w:pStyle w:val="Prrafodelista"/>
        <w:numPr>
          <w:ilvl w:val="0"/>
          <w:numId w:val="2"/>
        </w:numPr>
        <w:spacing w:line="360" w:lineRule="auto"/>
        <w:jc w:val="both"/>
        <w:rPr>
          <w:rFonts w:ascii="GalanoGrotesque-Light" w:hAnsi="GalanoGrotesque-Light"/>
          <w:sz w:val="22"/>
          <w:szCs w:val="22"/>
          <w:lang w:val="es-MX"/>
        </w:rPr>
      </w:pPr>
      <w:r w:rsidRPr="004F06F2">
        <w:rPr>
          <w:rFonts w:ascii="GalanoGrotesque-Light" w:hAnsi="GalanoGrotesque-Light"/>
          <w:sz w:val="22"/>
          <w:szCs w:val="22"/>
          <w:lang w:val="es-MX"/>
        </w:rPr>
        <w:t>Esta cuenta, representa los préstamos realizados a las dependencias del Gobierno del Estado y a los Municipios con problemas económicos, con cargo a sus participaciones federales.</w:t>
      </w:r>
    </w:p>
    <w:p w14:paraId="4CF19BF8" w14:textId="77777777" w:rsidR="00B82D70" w:rsidRPr="004F06F2" w:rsidRDefault="00B82D70" w:rsidP="00072C3D">
      <w:pPr>
        <w:widowControl w:val="0"/>
        <w:kinsoku w:val="0"/>
        <w:spacing w:before="0" w:after="0"/>
        <w:ind w:left="426"/>
        <w:contextualSpacing/>
        <w:rPr>
          <w:rFonts w:eastAsia="Times New Roman" w:cs="Times New Roman"/>
          <w:b/>
          <w:sz w:val="22"/>
          <w:szCs w:val="22"/>
          <w:lang w:eastAsia="es-MX"/>
        </w:rPr>
      </w:pPr>
      <w:r w:rsidRPr="004F06F2">
        <w:rPr>
          <w:rFonts w:eastAsia="Times New Roman" w:cs="Times New Roman"/>
          <w:b/>
          <w:sz w:val="22"/>
          <w:szCs w:val="22"/>
          <w:lang w:eastAsia="es-MX"/>
        </w:rPr>
        <w:t>Otros derechos a recibir efectivo o equivalentes a corto plazo:</w:t>
      </w:r>
    </w:p>
    <w:p w14:paraId="55F277E0" w14:textId="573CFC12" w:rsidR="00B82D70" w:rsidRPr="004F06F2" w:rsidRDefault="00B82D70" w:rsidP="00072C3D">
      <w:pPr>
        <w:pStyle w:val="Prrafodelista"/>
        <w:numPr>
          <w:ilvl w:val="0"/>
          <w:numId w:val="2"/>
        </w:numPr>
        <w:spacing w:line="360" w:lineRule="auto"/>
        <w:jc w:val="both"/>
        <w:rPr>
          <w:rFonts w:ascii="GalanoGrotesque-Light" w:hAnsi="GalanoGrotesque-Light"/>
          <w:sz w:val="22"/>
          <w:szCs w:val="22"/>
          <w:lang w:val="es-MX"/>
        </w:rPr>
      </w:pPr>
      <w:r w:rsidRPr="004F06F2">
        <w:rPr>
          <w:rFonts w:ascii="GalanoGrotesque-Light" w:hAnsi="GalanoGrotesque-Light"/>
          <w:sz w:val="22"/>
          <w:szCs w:val="22"/>
          <w:lang w:val="es-MX"/>
        </w:rPr>
        <w:t>Son los descuentos que la Federación ha realizado al Estado por conceptos de adeudos que los Municipios tienen con ella y que al vencimiento no fueron liquidados, así como de los pagos que el Estado realiza por cuenta de éstos por créditos avalados por las instituciones financieras.</w:t>
      </w:r>
    </w:p>
    <w:p w14:paraId="200C6C64" w14:textId="77777777" w:rsidR="00FD3AF2" w:rsidRPr="004F06F2" w:rsidRDefault="00FD3AF2" w:rsidP="00072C3D">
      <w:pPr>
        <w:rPr>
          <w:b/>
          <w:bCs/>
          <w:sz w:val="22"/>
          <w:szCs w:val="22"/>
          <w:lang w:val="es-MX"/>
        </w:rPr>
      </w:pPr>
    </w:p>
    <w:p w14:paraId="49B4A068" w14:textId="6563AE98" w:rsidR="00094A75" w:rsidRPr="004F06F2" w:rsidRDefault="00A71085" w:rsidP="00072C3D">
      <w:pPr>
        <w:rPr>
          <w:b/>
          <w:bCs/>
          <w:sz w:val="22"/>
          <w:szCs w:val="22"/>
          <w:lang w:val="es-MX"/>
        </w:rPr>
      </w:pPr>
      <w:r w:rsidRPr="004F06F2">
        <w:rPr>
          <w:b/>
          <w:bCs/>
          <w:sz w:val="22"/>
          <w:szCs w:val="22"/>
          <w:lang w:val="es-MX"/>
        </w:rPr>
        <w:t>BIENES DISPONIBLES PARA SU TRANSFORMACIÓN O CONSUMO (INVENTARIOS)</w:t>
      </w:r>
    </w:p>
    <w:p w14:paraId="08701FC0" w14:textId="4876E766" w:rsidR="00A71085" w:rsidRPr="004F06F2" w:rsidRDefault="00A71085" w:rsidP="00072C3D">
      <w:pPr>
        <w:rPr>
          <w:b/>
          <w:bCs/>
          <w:sz w:val="22"/>
          <w:szCs w:val="22"/>
          <w:lang w:val="es-MX"/>
        </w:rPr>
      </w:pPr>
      <w:r w:rsidRPr="004F06F2">
        <w:rPr>
          <w:b/>
          <w:bCs/>
          <w:sz w:val="22"/>
          <w:szCs w:val="22"/>
          <w:lang w:val="es-MX"/>
        </w:rPr>
        <w:t>4.- BIENES DISPONIBLES PARA SU TRANSFORMACIÓN</w:t>
      </w:r>
    </w:p>
    <w:p w14:paraId="28B5A746" w14:textId="62FA8950" w:rsidR="00623CDF" w:rsidRPr="004F06F2" w:rsidRDefault="00A71085" w:rsidP="00072C3D">
      <w:pPr>
        <w:rPr>
          <w:sz w:val="22"/>
          <w:szCs w:val="22"/>
          <w:lang w:val="es-MX"/>
        </w:rPr>
      </w:pPr>
      <w:r w:rsidRPr="004F06F2">
        <w:rPr>
          <w:sz w:val="22"/>
          <w:szCs w:val="22"/>
          <w:lang w:val="es-MX"/>
        </w:rPr>
        <w:t>Esta nota no aplica, en vista de que el Gobierno del Estado de Michoacán</w:t>
      </w:r>
      <w:r w:rsidR="00623CDF" w:rsidRPr="004F06F2">
        <w:rPr>
          <w:sz w:val="22"/>
          <w:szCs w:val="22"/>
          <w:lang w:val="es-MX"/>
        </w:rPr>
        <w:t xml:space="preserve"> no transforma bienes.</w:t>
      </w:r>
    </w:p>
    <w:p w14:paraId="1033FE9F" w14:textId="6455F7C9" w:rsidR="00623CDF" w:rsidRPr="004F06F2" w:rsidRDefault="00623CDF" w:rsidP="00072C3D">
      <w:pPr>
        <w:rPr>
          <w:b/>
          <w:bCs/>
          <w:sz w:val="22"/>
          <w:szCs w:val="22"/>
          <w:lang w:val="es-MX"/>
        </w:rPr>
      </w:pPr>
      <w:r w:rsidRPr="004F06F2">
        <w:rPr>
          <w:b/>
          <w:bCs/>
          <w:sz w:val="22"/>
          <w:szCs w:val="22"/>
          <w:lang w:val="es-MX"/>
        </w:rPr>
        <w:t>5.- ALMACÉN</w:t>
      </w:r>
    </w:p>
    <w:p w14:paraId="3887CB51" w14:textId="3CBB4E26" w:rsidR="00623CDF" w:rsidRPr="004F06F2" w:rsidRDefault="00623CDF" w:rsidP="00072C3D">
      <w:pPr>
        <w:rPr>
          <w:sz w:val="22"/>
          <w:szCs w:val="22"/>
          <w:lang w:val="es-MX"/>
        </w:rPr>
      </w:pPr>
      <w:r w:rsidRPr="004F06F2">
        <w:rPr>
          <w:sz w:val="22"/>
          <w:szCs w:val="22"/>
          <w:lang w:val="es-MX"/>
        </w:rPr>
        <w:t xml:space="preserve">El saldo por </w:t>
      </w:r>
      <w:r w:rsidR="002C2F61" w:rsidRPr="004F06F2">
        <w:rPr>
          <w:sz w:val="22"/>
          <w:szCs w:val="22"/>
          <w:lang w:val="es-MX"/>
        </w:rPr>
        <w:t>486</w:t>
      </w:r>
      <w:r w:rsidRPr="004F06F2">
        <w:rPr>
          <w:sz w:val="22"/>
          <w:szCs w:val="22"/>
          <w:lang w:val="es-MX"/>
        </w:rPr>
        <w:t xml:space="preserve"> mil</w:t>
      </w:r>
      <w:r w:rsidR="00E71FFE" w:rsidRPr="004F06F2">
        <w:rPr>
          <w:sz w:val="22"/>
          <w:szCs w:val="22"/>
          <w:lang w:val="es-MX"/>
        </w:rPr>
        <w:t xml:space="preserve"> </w:t>
      </w:r>
      <w:r w:rsidR="002C2F61" w:rsidRPr="004F06F2">
        <w:rPr>
          <w:sz w:val="22"/>
          <w:szCs w:val="22"/>
          <w:lang w:val="es-MX"/>
        </w:rPr>
        <w:t>820</w:t>
      </w:r>
      <w:r w:rsidRPr="004F06F2">
        <w:rPr>
          <w:sz w:val="22"/>
          <w:szCs w:val="22"/>
          <w:lang w:val="es-MX"/>
        </w:rPr>
        <w:t xml:space="preserve"> pesos</w:t>
      </w:r>
      <w:r w:rsidR="005270C7" w:rsidRPr="004F06F2">
        <w:rPr>
          <w:sz w:val="22"/>
          <w:szCs w:val="22"/>
          <w:lang w:val="es-MX"/>
        </w:rPr>
        <w:t>,</w:t>
      </w:r>
      <w:r w:rsidRPr="004F06F2">
        <w:rPr>
          <w:sz w:val="22"/>
          <w:szCs w:val="22"/>
          <w:lang w:val="es-MX"/>
        </w:rPr>
        <w:t xml:space="preserve"> de la cuenta de almacenes corresponde a las existencias de materiales y útiles de oficina, materiales para el procesamiento de equipos informáticos, material eléctrico y electrónico, así como de herramientas menores.</w:t>
      </w:r>
    </w:p>
    <w:p w14:paraId="52ECB970" w14:textId="296A921E" w:rsidR="001D0A8E" w:rsidRPr="004F06F2" w:rsidRDefault="007A3099" w:rsidP="00A71085">
      <w:pPr>
        <w:rPr>
          <w:sz w:val="22"/>
          <w:szCs w:val="22"/>
          <w:lang w:val="es-MX"/>
        </w:rPr>
      </w:pPr>
      <w:r w:rsidRPr="007A3099">
        <w:rPr>
          <w:noProof/>
          <w:lang w:val="es-MX" w:eastAsia="es-MX"/>
        </w:rPr>
        <w:drawing>
          <wp:inline distT="0" distB="0" distL="0" distR="0" wp14:anchorId="79C0E339" wp14:editId="62276A1A">
            <wp:extent cx="6351270" cy="681600"/>
            <wp:effectExtent l="0" t="0" r="0" b="4445"/>
            <wp:docPr id="817789824" name="Imagen 817789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1270" cy="681600"/>
                    </a:xfrm>
                    <a:prstGeom prst="rect">
                      <a:avLst/>
                    </a:prstGeom>
                    <a:noFill/>
                    <a:ln>
                      <a:noFill/>
                    </a:ln>
                  </pic:spPr>
                </pic:pic>
              </a:graphicData>
            </a:graphic>
          </wp:inline>
        </w:drawing>
      </w:r>
    </w:p>
    <w:p w14:paraId="796FB083" w14:textId="77777777" w:rsidR="0030469C" w:rsidRDefault="0030469C" w:rsidP="00B82D70">
      <w:pPr>
        <w:spacing w:before="0" w:after="0"/>
        <w:rPr>
          <w:rFonts w:eastAsia="Times New Roman" w:cs="Times New Roman"/>
          <w:b/>
          <w:color w:val="000000"/>
          <w:sz w:val="22"/>
          <w:szCs w:val="22"/>
          <w:lang w:eastAsia="es-MX"/>
        </w:rPr>
      </w:pPr>
    </w:p>
    <w:p w14:paraId="05AA9270" w14:textId="77777777" w:rsidR="000033B5" w:rsidRDefault="000033B5" w:rsidP="00B82D70">
      <w:pPr>
        <w:spacing w:before="0" w:after="0"/>
        <w:rPr>
          <w:rFonts w:eastAsia="Times New Roman" w:cs="Times New Roman"/>
          <w:b/>
          <w:color w:val="000000"/>
          <w:sz w:val="22"/>
          <w:szCs w:val="22"/>
          <w:lang w:eastAsia="es-MX"/>
        </w:rPr>
      </w:pPr>
    </w:p>
    <w:p w14:paraId="6D44B6A1" w14:textId="77777777" w:rsidR="0030469C" w:rsidRPr="004F06F2" w:rsidRDefault="0030469C" w:rsidP="00B82D70">
      <w:pPr>
        <w:spacing w:before="0" w:after="0"/>
        <w:rPr>
          <w:rFonts w:eastAsia="Times New Roman" w:cs="Times New Roman"/>
          <w:b/>
          <w:color w:val="000000"/>
          <w:sz w:val="22"/>
          <w:szCs w:val="22"/>
          <w:lang w:eastAsia="es-MX"/>
        </w:rPr>
      </w:pPr>
    </w:p>
    <w:p w14:paraId="429A2980" w14:textId="6D7F91E5" w:rsidR="001F3AA2" w:rsidRPr="004F06F2" w:rsidRDefault="00A46496" w:rsidP="00B82D70">
      <w:pPr>
        <w:spacing w:before="0" w:after="0"/>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lastRenderedPageBreak/>
        <w:t>ACTIVO NO CIRCULANTE</w:t>
      </w:r>
    </w:p>
    <w:p w14:paraId="7F512B95" w14:textId="613ED402" w:rsidR="00E71FFE" w:rsidRPr="004F06F2" w:rsidRDefault="00E71FFE" w:rsidP="00B82D70">
      <w:pPr>
        <w:spacing w:before="0" w:after="0"/>
        <w:rPr>
          <w:rFonts w:eastAsia="Times New Roman" w:cs="Times New Roman"/>
          <w:color w:val="000000"/>
          <w:sz w:val="22"/>
          <w:szCs w:val="22"/>
          <w:lang w:eastAsia="es-MX"/>
        </w:rPr>
      </w:pPr>
      <w:r w:rsidRPr="004F06F2">
        <w:rPr>
          <w:rFonts w:eastAsia="Times New Roman" w:cs="Times New Roman"/>
          <w:color w:val="000000"/>
          <w:sz w:val="22"/>
          <w:szCs w:val="22"/>
          <w:lang w:eastAsia="es-MX"/>
        </w:rPr>
        <w:t xml:space="preserve">El saldo al 31 de </w:t>
      </w:r>
      <w:r w:rsidR="00362EEC" w:rsidRPr="004F06F2">
        <w:rPr>
          <w:rFonts w:eastAsia="Times New Roman" w:cs="Times New Roman"/>
          <w:color w:val="000000"/>
          <w:sz w:val="22"/>
          <w:szCs w:val="22"/>
          <w:lang w:eastAsia="es-MX"/>
        </w:rPr>
        <w:t>marzo</w:t>
      </w:r>
      <w:r w:rsidRPr="004F06F2">
        <w:rPr>
          <w:rFonts w:eastAsia="Times New Roman" w:cs="Times New Roman"/>
          <w:color w:val="000000"/>
          <w:sz w:val="22"/>
          <w:szCs w:val="22"/>
          <w:lang w:eastAsia="es-MX"/>
        </w:rPr>
        <w:t xml:space="preserve"> de 202</w:t>
      </w:r>
      <w:r w:rsidR="00362EEC" w:rsidRPr="004F06F2">
        <w:rPr>
          <w:rFonts w:eastAsia="Times New Roman" w:cs="Times New Roman"/>
          <w:color w:val="000000"/>
          <w:sz w:val="22"/>
          <w:szCs w:val="22"/>
          <w:lang w:eastAsia="es-MX"/>
        </w:rPr>
        <w:t>4</w:t>
      </w:r>
      <w:r w:rsidRPr="004F06F2">
        <w:rPr>
          <w:rFonts w:eastAsia="Times New Roman" w:cs="Times New Roman"/>
          <w:color w:val="000000"/>
          <w:sz w:val="22"/>
          <w:szCs w:val="22"/>
          <w:lang w:eastAsia="es-MX"/>
        </w:rPr>
        <w:t xml:space="preserve"> del activo no circulante, asciende a la cantidad de 73 mil </w:t>
      </w:r>
      <w:r w:rsidR="00362EEC" w:rsidRPr="004F06F2">
        <w:rPr>
          <w:rFonts w:eastAsia="Times New Roman" w:cs="Times New Roman"/>
          <w:color w:val="000000"/>
          <w:sz w:val="22"/>
          <w:szCs w:val="22"/>
          <w:lang w:eastAsia="es-MX"/>
        </w:rPr>
        <w:t>317</w:t>
      </w:r>
      <w:r w:rsidRPr="004F06F2">
        <w:rPr>
          <w:rFonts w:eastAsia="Times New Roman" w:cs="Times New Roman"/>
          <w:color w:val="000000"/>
          <w:sz w:val="22"/>
          <w:szCs w:val="22"/>
          <w:lang w:eastAsia="es-MX"/>
        </w:rPr>
        <w:t xml:space="preserve"> millones </w:t>
      </w:r>
      <w:r w:rsidR="00362EEC" w:rsidRPr="004F06F2">
        <w:rPr>
          <w:rFonts w:eastAsia="Times New Roman" w:cs="Times New Roman"/>
          <w:color w:val="000000"/>
          <w:sz w:val="22"/>
          <w:szCs w:val="22"/>
          <w:lang w:eastAsia="es-MX"/>
        </w:rPr>
        <w:t>935</w:t>
      </w:r>
      <w:r w:rsidRPr="004F06F2">
        <w:rPr>
          <w:rFonts w:eastAsia="Times New Roman" w:cs="Times New Roman"/>
          <w:color w:val="000000"/>
          <w:sz w:val="22"/>
          <w:szCs w:val="22"/>
          <w:lang w:eastAsia="es-MX"/>
        </w:rPr>
        <w:t xml:space="preserve"> mil 47</w:t>
      </w:r>
      <w:r w:rsidR="00362EEC" w:rsidRPr="004F06F2">
        <w:rPr>
          <w:rFonts w:eastAsia="Times New Roman" w:cs="Times New Roman"/>
          <w:color w:val="000000"/>
          <w:sz w:val="22"/>
          <w:szCs w:val="22"/>
          <w:lang w:eastAsia="es-MX"/>
        </w:rPr>
        <w:t>5</w:t>
      </w:r>
      <w:r w:rsidRPr="004F06F2">
        <w:rPr>
          <w:rFonts w:eastAsia="Times New Roman" w:cs="Times New Roman"/>
          <w:color w:val="000000"/>
          <w:sz w:val="22"/>
          <w:szCs w:val="22"/>
          <w:lang w:eastAsia="es-MX"/>
        </w:rPr>
        <w:t xml:space="preserve"> pesos y se integran de la siguiente manera:</w:t>
      </w:r>
    </w:p>
    <w:p w14:paraId="41243137" w14:textId="5E0CE5ED" w:rsidR="00E71FFE" w:rsidRPr="004F06F2" w:rsidRDefault="00362EEC" w:rsidP="001F3AA2">
      <w:pPr>
        <w:spacing w:before="0" w:after="0"/>
        <w:rPr>
          <w:rFonts w:eastAsia="Times New Roman" w:cs="Times New Roman"/>
          <w:b/>
          <w:bCs/>
          <w:color w:val="000000"/>
          <w:sz w:val="22"/>
          <w:szCs w:val="22"/>
          <w:lang w:eastAsia="es-MX"/>
        </w:rPr>
      </w:pPr>
      <w:r w:rsidRPr="004F06F2">
        <w:rPr>
          <w:noProof/>
          <w:lang w:val="es-MX" w:eastAsia="es-MX"/>
        </w:rPr>
        <w:drawing>
          <wp:inline distT="0" distB="0" distL="0" distR="0" wp14:anchorId="4131EB52" wp14:editId="512E5C30">
            <wp:extent cx="6351270" cy="1016754"/>
            <wp:effectExtent l="0" t="0" r="0" b="0"/>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1270" cy="1016754"/>
                    </a:xfrm>
                    <a:prstGeom prst="rect">
                      <a:avLst/>
                    </a:prstGeom>
                    <a:noFill/>
                    <a:ln>
                      <a:noFill/>
                    </a:ln>
                  </pic:spPr>
                </pic:pic>
              </a:graphicData>
            </a:graphic>
          </wp:inline>
        </w:drawing>
      </w:r>
    </w:p>
    <w:p w14:paraId="4DFB4585" w14:textId="77777777" w:rsidR="00E16B8B" w:rsidRPr="004F06F2" w:rsidRDefault="00E16B8B" w:rsidP="001F3AA2">
      <w:pPr>
        <w:spacing w:before="0" w:after="0"/>
        <w:rPr>
          <w:rFonts w:eastAsia="Times New Roman" w:cs="Times New Roman"/>
          <w:b/>
          <w:bCs/>
          <w:color w:val="000000"/>
          <w:sz w:val="22"/>
          <w:szCs w:val="22"/>
          <w:lang w:eastAsia="es-MX"/>
        </w:rPr>
      </w:pPr>
    </w:p>
    <w:p w14:paraId="48A32B01" w14:textId="4679E963" w:rsidR="001511BF" w:rsidRPr="004F06F2" w:rsidRDefault="00E16B8B" w:rsidP="001F3AA2">
      <w:pPr>
        <w:spacing w:before="0" w:after="0"/>
        <w:rPr>
          <w:rFonts w:eastAsia="Times New Roman" w:cs="Times New Roman"/>
          <w:b/>
          <w:bCs/>
          <w:color w:val="000000"/>
          <w:sz w:val="22"/>
          <w:szCs w:val="22"/>
          <w:lang w:eastAsia="es-MX"/>
        </w:rPr>
      </w:pPr>
      <w:r w:rsidRPr="004F06F2">
        <w:rPr>
          <w:rFonts w:eastAsia="Times New Roman" w:cs="Times New Roman"/>
          <w:b/>
          <w:bCs/>
          <w:color w:val="000000"/>
          <w:sz w:val="22"/>
          <w:szCs w:val="22"/>
          <w:lang w:eastAsia="es-MX"/>
        </w:rPr>
        <w:t>INVERSIONES FINANCIERAS</w:t>
      </w:r>
    </w:p>
    <w:p w14:paraId="7A3281E6" w14:textId="19901C87" w:rsidR="001F3AA2" w:rsidRPr="004F06F2" w:rsidRDefault="001F3AA2" w:rsidP="001F3AA2">
      <w:pPr>
        <w:spacing w:before="0" w:after="0"/>
        <w:rPr>
          <w:rFonts w:eastAsia="Times New Roman" w:cs="Times New Roman"/>
          <w:b/>
          <w:bCs/>
          <w:color w:val="000000"/>
          <w:sz w:val="22"/>
          <w:szCs w:val="22"/>
          <w:lang w:eastAsia="es-MX"/>
        </w:rPr>
      </w:pPr>
      <w:r w:rsidRPr="004F06F2">
        <w:rPr>
          <w:rFonts w:eastAsia="Times New Roman" w:cs="Times New Roman"/>
          <w:b/>
          <w:bCs/>
          <w:color w:val="000000"/>
          <w:sz w:val="22"/>
          <w:szCs w:val="22"/>
          <w:lang w:eastAsia="es-MX"/>
        </w:rPr>
        <w:t xml:space="preserve">6. </w:t>
      </w:r>
      <w:r w:rsidR="0029041D" w:rsidRPr="004F06F2">
        <w:rPr>
          <w:rFonts w:eastAsia="Times New Roman" w:cs="Times New Roman"/>
          <w:b/>
          <w:bCs/>
          <w:color w:val="000000"/>
          <w:sz w:val="22"/>
          <w:szCs w:val="22"/>
          <w:lang w:eastAsia="es-MX"/>
        </w:rPr>
        <w:t xml:space="preserve">INVERSIONES FINANCIERAS, </w:t>
      </w:r>
      <w:r w:rsidRPr="004F06F2">
        <w:rPr>
          <w:rFonts w:eastAsia="Times New Roman" w:cs="Times New Roman"/>
          <w:b/>
          <w:bCs/>
          <w:color w:val="000000"/>
          <w:sz w:val="22"/>
          <w:szCs w:val="22"/>
          <w:lang w:eastAsia="es-MX"/>
        </w:rPr>
        <w:t>FIDEICOMISOS, MANDATOS Y ANÁLOGOS</w:t>
      </w:r>
    </w:p>
    <w:p w14:paraId="21A5AD7F" w14:textId="0573402F" w:rsidR="001F3AA2" w:rsidRPr="004F06F2" w:rsidRDefault="001F3AA2" w:rsidP="00464F99">
      <w:pPr>
        <w:widowControl w:val="0"/>
        <w:kinsoku w:val="0"/>
        <w:spacing w:before="0" w:after="0"/>
        <w:contextualSpacing/>
        <w:rPr>
          <w:rFonts w:eastAsia="Times New Roman" w:cs="Times New Roman"/>
          <w:color w:val="000000"/>
          <w:sz w:val="22"/>
          <w:szCs w:val="22"/>
          <w:lang w:eastAsia="es-MX"/>
        </w:rPr>
      </w:pPr>
      <w:r w:rsidRPr="004F06F2">
        <w:rPr>
          <w:rFonts w:eastAsia="Times New Roman" w:cs="Times New Roman"/>
          <w:color w:val="000000"/>
          <w:sz w:val="22"/>
          <w:szCs w:val="22"/>
          <w:lang w:eastAsia="es-MX"/>
        </w:rPr>
        <w:t xml:space="preserve">De dichos montos, las inversiones Financieras a largo plazo se integran por </w:t>
      </w:r>
      <w:r w:rsidR="002C2F61" w:rsidRPr="004F06F2">
        <w:rPr>
          <w:rFonts w:eastAsia="Times New Roman" w:cs="Times New Roman"/>
          <w:color w:val="000000"/>
          <w:sz w:val="22"/>
          <w:szCs w:val="22"/>
          <w:lang w:eastAsia="es-MX"/>
        </w:rPr>
        <w:t>29</w:t>
      </w:r>
      <w:r w:rsidRPr="004F06F2">
        <w:rPr>
          <w:rFonts w:eastAsia="Times New Roman" w:cs="Times New Roman"/>
          <w:color w:val="000000"/>
          <w:sz w:val="22"/>
          <w:szCs w:val="22"/>
          <w:lang w:eastAsia="es-MX"/>
        </w:rPr>
        <w:t xml:space="preserve"> mil </w:t>
      </w:r>
      <w:r w:rsidR="0081589A" w:rsidRPr="004F06F2">
        <w:rPr>
          <w:rFonts w:eastAsia="Times New Roman" w:cs="Times New Roman"/>
          <w:color w:val="000000"/>
          <w:sz w:val="22"/>
          <w:szCs w:val="22"/>
          <w:lang w:eastAsia="es-MX"/>
        </w:rPr>
        <w:t>9</w:t>
      </w:r>
      <w:r w:rsidR="00362EEC" w:rsidRPr="004F06F2">
        <w:rPr>
          <w:rFonts w:eastAsia="Times New Roman" w:cs="Times New Roman"/>
          <w:color w:val="000000"/>
          <w:sz w:val="22"/>
          <w:szCs w:val="22"/>
          <w:lang w:eastAsia="es-MX"/>
        </w:rPr>
        <w:t>46</w:t>
      </w:r>
      <w:r w:rsidRPr="004F06F2">
        <w:rPr>
          <w:rFonts w:eastAsia="Times New Roman" w:cs="Times New Roman"/>
          <w:color w:val="000000"/>
          <w:sz w:val="22"/>
          <w:szCs w:val="22"/>
          <w:lang w:eastAsia="es-MX"/>
        </w:rPr>
        <w:t xml:space="preserve"> millones </w:t>
      </w:r>
      <w:r w:rsidR="00362EEC" w:rsidRPr="004F06F2">
        <w:rPr>
          <w:rFonts w:eastAsia="Times New Roman" w:cs="Times New Roman"/>
          <w:color w:val="000000"/>
          <w:sz w:val="22"/>
          <w:szCs w:val="22"/>
          <w:lang w:eastAsia="es-MX"/>
        </w:rPr>
        <w:t>939</w:t>
      </w:r>
      <w:r w:rsidRPr="004F06F2">
        <w:rPr>
          <w:rFonts w:eastAsia="Times New Roman" w:cs="Times New Roman"/>
          <w:color w:val="000000"/>
          <w:sz w:val="22"/>
          <w:szCs w:val="22"/>
          <w:lang w:eastAsia="es-MX"/>
        </w:rPr>
        <w:t xml:space="preserve"> mil </w:t>
      </w:r>
      <w:r w:rsidR="00362EEC" w:rsidRPr="004F06F2">
        <w:rPr>
          <w:rFonts w:eastAsia="Times New Roman" w:cs="Times New Roman"/>
          <w:color w:val="000000"/>
          <w:sz w:val="22"/>
          <w:szCs w:val="22"/>
          <w:lang w:eastAsia="es-MX"/>
        </w:rPr>
        <w:t>941</w:t>
      </w:r>
      <w:r w:rsidRPr="004F06F2">
        <w:rPr>
          <w:rFonts w:eastAsia="Times New Roman" w:cs="Times New Roman"/>
          <w:color w:val="000000"/>
          <w:sz w:val="22"/>
          <w:szCs w:val="22"/>
          <w:lang w:eastAsia="es-MX"/>
        </w:rPr>
        <w:t xml:space="preserve"> pesos que se muestran como sigue: </w:t>
      </w:r>
    </w:p>
    <w:p w14:paraId="5E629958" w14:textId="49D52E0A" w:rsidR="00094A75" w:rsidRPr="004F06F2" w:rsidRDefault="00362EEC" w:rsidP="00464F99">
      <w:pPr>
        <w:widowControl w:val="0"/>
        <w:kinsoku w:val="0"/>
        <w:spacing w:before="0" w:after="0"/>
        <w:contextualSpacing/>
        <w:rPr>
          <w:rFonts w:eastAsia="Times New Roman" w:cs="Times New Roman"/>
          <w:color w:val="000000"/>
          <w:sz w:val="22"/>
          <w:szCs w:val="22"/>
          <w:lang w:eastAsia="es-MX"/>
        </w:rPr>
      </w:pPr>
      <w:r w:rsidRPr="004F06F2">
        <w:rPr>
          <w:noProof/>
          <w:lang w:val="es-MX" w:eastAsia="es-MX"/>
        </w:rPr>
        <w:drawing>
          <wp:inline distT="0" distB="0" distL="0" distR="0" wp14:anchorId="1833A6A9" wp14:editId="37F22EE8">
            <wp:extent cx="6351270" cy="455905"/>
            <wp:effectExtent l="0" t="0" r="0" b="1905"/>
            <wp:docPr id="168"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1270" cy="455905"/>
                    </a:xfrm>
                    <a:prstGeom prst="rect">
                      <a:avLst/>
                    </a:prstGeom>
                    <a:noFill/>
                    <a:ln>
                      <a:noFill/>
                    </a:ln>
                  </pic:spPr>
                </pic:pic>
              </a:graphicData>
            </a:graphic>
          </wp:inline>
        </w:drawing>
      </w:r>
    </w:p>
    <w:p w14:paraId="745CB31B" w14:textId="77777777" w:rsidR="00094A75" w:rsidRPr="004F06F2" w:rsidRDefault="00094A75" w:rsidP="001F3AA2">
      <w:pPr>
        <w:spacing w:before="0" w:after="0"/>
        <w:rPr>
          <w:rFonts w:eastAsia="Times New Roman" w:cs="Times New Roman"/>
          <w:color w:val="000000"/>
          <w:sz w:val="22"/>
          <w:szCs w:val="22"/>
          <w:lang w:eastAsia="es-MX"/>
        </w:rPr>
      </w:pPr>
    </w:p>
    <w:p w14:paraId="677B71D8" w14:textId="6033F72F" w:rsidR="00E51721" w:rsidRPr="004F06F2" w:rsidRDefault="00C44740" w:rsidP="001F3AA2">
      <w:pPr>
        <w:spacing w:before="0" w:after="0"/>
        <w:rPr>
          <w:noProof/>
          <w:lang w:val="es-MX" w:eastAsia="es-MX"/>
        </w:rPr>
      </w:pPr>
      <w:r w:rsidRPr="004F06F2">
        <w:rPr>
          <w:rFonts w:eastAsia="Times New Roman" w:cs="Times New Roman"/>
          <w:color w:val="000000"/>
          <w:sz w:val="22"/>
          <w:szCs w:val="22"/>
          <w:lang w:eastAsia="es-MX"/>
        </w:rPr>
        <w:t>De la cuenta de Fideicomisos, mandatos y análogos</w:t>
      </w:r>
      <w:r w:rsidR="008B1490" w:rsidRPr="004F06F2">
        <w:rPr>
          <w:rFonts w:eastAsia="Times New Roman" w:cs="Times New Roman"/>
          <w:color w:val="000000"/>
          <w:sz w:val="22"/>
          <w:szCs w:val="22"/>
          <w:lang w:eastAsia="es-MX"/>
        </w:rPr>
        <w:t xml:space="preserve">, por 8 mil </w:t>
      </w:r>
      <w:r w:rsidR="00362EEC" w:rsidRPr="004F06F2">
        <w:rPr>
          <w:rFonts w:eastAsia="Times New Roman" w:cs="Times New Roman"/>
          <w:color w:val="000000"/>
          <w:sz w:val="22"/>
          <w:szCs w:val="22"/>
          <w:lang w:eastAsia="es-MX"/>
        </w:rPr>
        <w:t>477</w:t>
      </w:r>
      <w:r w:rsidR="008B1490" w:rsidRPr="004F06F2">
        <w:rPr>
          <w:rFonts w:eastAsia="Times New Roman" w:cs="Times New Roman"/>
          <w:color w:val="000000"/>
          <w:sz w:val="22"/>
          <w:szCs w:val="22"/>
          <w:lang w:eastAsia="es-MX"/>
        </w:rPr>
        <w:t xml:space="preserve"> millones </w:t>
      </w:r>
      <w:r w:rsidR="00362EEC" w:rsidRPr="004F06F2">
        <w:rPr>
          <w:rFonts w:eastAsia="Times New Roman" w:cs="Times New Roman"/>
          <w:color w:val="000000"/>
          <w:sz w:val="22"/>
          <w:szCs w:val="22"/>
          <w:lang w:eastAsia="es-MX"/>
        </w:rPr>
        <w:t>329</w:t>
      </w:r>
      <w:r w:rsidR="008B1490" w:rsidRPr="004F06F2">
        <w:rPr>
          <w:rFonts w:eastAsia="Times New Roman" w:cs="Times New Roman"/>
          <w:color w:val="000000"/>
          <w:sz w:val="22"/>
          <w:szCs w:val="22"/>
          <w:lang w:eastAsia="es-MX"/>
        </w:rPr>
        <w:t xml:space="preserve"> mil </w:t>
      </w:r>
      <w:r w:rsidR="00362EEC" w:rsidRPr="004F06F2">
        <w:rPr>
          <w:rFonts w:eastAsia="Times New Roman" w:cs="Times New Roman"/>
          <w:color w:val="000000"/>
          <w:sz w:val="22"/>
          <w:szCs w:val="22"/>
          <w:lang w:eastAsia="es-MX"/>
        </w:rPr>
        <w:t>766</w:t>
      </w:r>
      <w:r w:rsidR="008B1490" w:rsidRPr="004F06F2">
        <w:rPr>
          <w:rFonts w:eastAsia="Times New Roman" w:cs="Times New Roman"/>
          <w:color w:val="000000"/>
          <w:sz w:val="22"/>
          <w:szCs w:val="22"/>
          <w:lang w:eastAsia="es-MX"/>
        </w:rPr>
        <w:t xml:space="preserve"> pesos</w:t>
      </w:r>
      <w:r w:rsidR="00E51721" w:rsidRPr="004F06F2">
        <w:rPr>
          <w:rFonts w:eastAsia="Times New Roman" w:cs="Times New Roman"/>
          <w:color w:val="000000"/>
          <w:sz w:val="22"/>
          <w:szCs w:val="22"/>
          <w:lang w:eastAsia="es-MX"/>
        </w:rPr>
        <w:t>, de los cuales 1 mil 1</w:t>
      </w:r>
      <w:r w:rsidR="000B5408" w:rsidRPr="004F06F2">
        <w:rPr>
          <w:rFonts w:eastAsia="Times New Roman" w:cs="Times New Roman"/>
          <w:color w:val="000000"/>
          <w:sz w:val="22"/>
          <w:szCs w:val="22"/>
          <w:lang w:eastAsia="es-MX"/>
        </w:rPr>
        <w:t>45</w:t>
      </w:r>
      <w:r w:rsidR="00E51721" w:rsidRPr="004F06F2">
        <w:rPr>
          <w:rFonts w:eastAsia="Times New Roman" w:cs="Times New Roman"/>
          <w:color w:val="000000"/>
          <w:sz w:val="22"/>
          <w:szCs w:val="22"/>
          <w:lang w:eastAsia="es-MX"/>
        </w:rPr>
        <w:t xml:space="preserve"> millones </w:t>
      </w:r>
      <w:r w:rsidR="000B5408" w:rsidRPr="004F06F2">
        <w:rPr>
          <w:rFonts w:eastAsia="Times New Roman" w:cs="Times New Roman"/>
          <w:color w:val="000000"/>
          <w:sz w:val="22"/>
          <w:szCs w:val="22"/>
          <w:lang w:eastAsia="es-MX"/>
        </w:rPr>
        <w:t>232</w:t>
      </w:r>
      <w:r w:rsidR="00E51721" w:rsidRPr="004F06F2">
        <w:rPr>
          <w:rFonts w:eastAsia="Times New Roman" w:cs="Times New Roman"/>
          <w:color w:val="000000"/>
          <w:sz w:val="22"/>
          <w:szCs w:val="22"/>
          <w:lang w:eastAsia="es-MX"/>
        </w:rPr>
        <w:t xml:space="preserve"> mil </w:t>
      </w:r>
      <w:r w:rsidR="000B5408" w:rsidRPr="004F06F2">
        <w:rPr>
          <w:rFonts w:eastAsia="Times New Roman" w:cs="Times New Roman"/>
          <w:color w:val="000000"/>
          <w:sz w:val="22"/>
          <w:szCs w:val="22"/>
          <w:lang w:eastAsia="es-MX"/>
        </w:rPr>
        <w:t>66</w:t>
      </w:r>
      <w:r w:rsidR="00E51721" w:rsidRPr="004F06F2">
        <w:rPr>
          <w:rFonts w:eastAsia="Times New Roman" w:cs="Times New Roman"/>
          <w:color w:val="000000"/>
          <w:sz w:val="22"/>
          <w:szCs w:val="22"/>
          <w:lang w:eastAsia="es-MX"/>
        </w:rPr>
        <w:t>3 pesos corresponde a fideicomisos financieros destinados a garantizar el pago de la deuda pública y</w:t>
      </w:r>
      <w:r w:rsidRPr="004F06F2">
        <w:rPr>
          <w:rFonts w:eastAsia="Times New Roman" w:cs="Times New Roman"/>
          <w:color w:val="000000"/>
          <w:sz w:val="22"/>
          <w:szCs w:val="22"/>
          <w:lang w:eastAsia="es-MX"/>
        </w:rPr>
        <w:t xml:space="preserve"> </w:t>
      </w:r>
      <w:r w:rsidR="00E51721" w:rsidRPr="004F06F2">
        <w:rPr>
          <w:noProof/>
          <w:lang w:val="es-MX" w:eastAsia="es-MX"/>
        </w:rPr>
        <w:t>7 mil 3</w:t>
      </w:r>
      <w:r w:rsidR="000B5408" w:rsidRPr="004F06F2">
        <w:rPr>
          <w:noProof/>
          <w:lang w:val="es-MX" w:eastAsia="es-MX"/>
        </w:rPr>
        <w:t>32</w:t>
      </w:r>
      <w:r w:rsidR="00E51721" w:rsidRPr="004F06F2">
        <w:rPr>
          <w:noProof/>
          <w:lang w:val="es-MX" w:eastAsia="es-MX"/>
        </w:rPr>
        <w:t xml:space="preserve"> millones </w:t>
      </w:r>
      <w:r w:rsidR="000B5408" w:rsidRPr="004F06F2">
        <w:rPr>
          <w:noProof/>
          <w:lang w:val="es-MX" w:eastAsia="es-MX"/>
        </w:rPr>
        <w:t>97</w:t>
      </w:r>
      <w:r w:rsidR="00E51721" w:rsidRPr="004F06F2">
        <w:rPr>
          <w:noProof/>
          <w:lang w:val="es-MX" w:eastAsia="es-MX"/>
        </w:rPr>
        <w:t xml:space="preserve"> mil </w:t>
      </w:r>
      <w:r w:rsidR="000B5408" w:rsidRPr="004F06F2">
        <w:rPr>
          <w:noProof/>
          <w:lang w:val="es-MX" w:eastAsia="es-MX"/>
        </w:rPr>
        <w:t>102</w:t>
      </w:r>
      <w:r w:rsidR="00E51721" w:rsidRPr="004F06F2">
        <w:rPr>
          <w:noProof/>
          <w:lang w:val="es-MX" w:eastAsia="es-MX"/>
        </w:rPr>
        <w:t xml:space="preserve"> pesos corresponden a fideicomisos no financieros destinados a objetivos específicos, </w:t>
      </w:r>
      <w:r w:rsidR="00A64C7C" w:rsidRPr="004F06F2">
        <w:rPr>
          <w:noProof/>
          <w:lang w:val="es-MX" w:eastAsia="es-MX"/>
        </w:rPr>
        <w:t>los cuales se detallan en el cuadro siguiente:</w:t>
      </w:r>
    </w:p>
    <w:p w14:paraId="12EF36D0" w14:textId="69A4B554" w:rsidR="00E51721" w:rsidRPr="004F06F2" w:rsidRDefault="000B5408" w:rsidP="001F3AA2">
      <w:pPr>
        <w:spacing w:before="0" w:after="0"/>
        <w:rPr>
          <w:noProof/>
          <w:lang w:val="es-MX" w:eastAsia="es-MX"/>
        </w:rPr>
      </w:pPr>
      <w:r w:rsidRPr="004F06F2">
        <w:rPr>
          <w:noProof/>
          <w:lang w:val="es-MX" w:eastAsia="es-MX"/>
        </w:rPr>
        <w:lastRenderedPageBreak/>
        <w:drawing>
          <wp:inline distT="0" distB="0" distL="0" distR="0" wp14:anchorId="3B4B6740" wp14:editId="1D8FEF2C">
            <wp:extent cx="6351270" cy="2979725"/>
            <wp:effectExtent l="0" t="0" r="0" b="0"/>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51270" cy="2979725"/>
                    </a:xfrm>
                    <a:prstGeom prst="rect">
                      <a:avLst/>
                    </a:prstGeom>
                    <a:noFill/>
                    <a:ln>
                      <a:noFill/>
                    </a:ln>
                  </pic:spPr>
                </pic:pic>
              </a:graphicData>
            </a:graphic>
          </wp:inline>
        </w:drawing>
      </w:r>
    </w:p>
    <w:p w14:paraId="68661E94" w14:textId="77777777" w:rsidR="00E51721" w:rsidRPr="004F06F2" w:rsidRDefault="00E51721" w:rsidP="001F3AA2">
      <w:pPr>
        <w:spacing w:before="0" w:after="0"/>
        <w:rPr>
          <w:noProof/>
          <w:lang w:val="es-MX" w:eastAsia="es-MX"/>
        </w:rPr>
      </w:pPr>
    </w:p>
    <w:p w14:paraId="7318E9DD" w14:textId="49A4D594" w:rsidR="00207781" w:rsidRPr="004F06F2" w:rsidRDefault="00207781" w:rsidP="00207781">
      <w:pPr>
        <w:spacing w:before="0" w:after="0"/>
        <w:rPr>
          <w:rFonts w:eastAsia="Times New Roman" w:cs="Times New Roman"/>
          <w:bCs/>
          <w:color w:val="000000"/>
          <w:sz w:val="22"/>
          <w:szCs w:val="22"/>
          <w:lang w:eastAsia="es-MX"/>
        </w:rPr>
      </w:pPr>
      <w:r w:rsidRPr="004F06F2">
        <w:rPr>
          <w:rFonts w:eastAsia="Times New Roman" w:cs="Times New Roman"/>
          <w:bCs/>
          <w:color w:val="000000"/>
          <w:sz w:val="22"/>
          <w:szCs w:val="22"/>
          <w:lang w:eastAsia="es-MX"/>
        </w:rPr>
        <w:t xml:space="preserve">Es importante destacar que derivado de los trabajos que se están realizando para actualizar las cifras contables y financieras, de manera que la contabilidad refleje de manera razonable la situación que guardan las finanzas públicas, la cuenta de Inversiones Financieras a Largo Plazo presenta un aumento de </w:t>
      </w:r>
      <w:r w:rsidR="00FF1C4A" w:rsidRPr="004F06F2">
        <w:rPr>
          <w:rFonts w:eastAsia="Times New Roman" w:cs="Times New Roman"/>
          <w:bCs/>
          <w:color w:val="000000"/>
          <w:sz w:val="22"/>
          <w:szCs w:val="22"/>
          <w:lang w:eastAsia="es-MX"/>
        </w:rPr>
        <w:t>2</w:t>
      </w:r>
      <w:r w:rsidR="00EB17B0" w:rsidRPr="004F06F2">
        <w:rPr>
          <w:rFonts w:eastAsia="Times New Roman" w:cs="Times New Roman"/>
          <w:bCs/>
          <w:color w:val="000000"/>
          <w:sz w:val="22"/>
          <w:szCs w:val="22"/>
          <w:lang w:eastAsia="es-MX"/>
        </w:rPr>
        <w:t xml:space="preserve"> mil </w:t>
      </w:r>
      <w:r w:rsidR="00FF1C4A" w:rsidRPr="004F06F2">
        <w:rPr>
          <w:rFonts w:eastAsia="Times New Roman" w:cs="Times New Roman"/>
          <w:bCs/>
          <w:color w:val="000000"/>
          <w:sz w:val="22"/>
          <w:szCs w:val="22"/>
          <w:lang w:eastAsia="es-MX"/>
        </w:rPr>
        <w:t>86</w:t>
      </w:r>
      <w:r w:rsidRPr="004F06F2">
        <w:rPr>
          <w:rFonts w:eastAsia="Times New Roman" w:cs="Times New Roman"/>
          <w:bCs/>
          <w:color w:val="000000"/>
          <w:sz w:val="22"/>
          <w:szCs w:val="22"/>
          <w:lang w:eastAsia="es-MX"/>
        </w:rPr>
        <w:t xml:space="preserve"> millones </w:t>
      </w:r>
      <w:r w:rsidR="00FF1C4A" w:rsidRPr="004F06F2">
        <w:rPr>
          <w:rFonts w:eastAsia="Times New Roman" w:cs="Times New Roman"/>
          <w:bCs/>
          <w:color w:val="000000"/>
          <w:sz w:val="22"/>
          <w:szCs w:val="22"/>
          <w:lang w:eastAsia="es-MX"/>
        </w:rPr>
        <w:t>326</w:t>
      </w:r>
      <w:r w:rsidRPr="004F06F2">
        <w:rPr>
          <w:rFonts w:eastAsia="Times New Roman" w:cs="Times New Roman"/>
          <w:bCs/>
          <w:color w:val="000000"/>
          <w:sz w:val="22"/>
          <w:szCs w:val="22"/>
          <w:lang w:eastAsia="es-MX"/>
        </w:rPr>
        <w:t xml:space="preserve"> mil </w:t>
      </w:r>
      <w:r w:rsidR="00FF1C4A" w:rsidRPr="004F06F2">
        <w:rPr>
          <w:rFonts w:eastAsia="Times New Roman" w:cs="Times New Roman"/>
          <w:bCs/>
          <w:color w:val="000000"/>
          <w:sz w:val="22"/>
          <w:szCs w:val="22"/>
          <w:lang w:eastAsia="es-MX"/>
        </w:rPr>
        <w:t>299</w:t>
      </w:r>
      <w:r w:rsidR="00094A75" w:rsidRPr="004F06F2">
        <w:rPr>
          <w:rFonts w:eastAsia="Times New Roman" w:cs="Times New Roman"/>
          <w:bCs/>
          <w:color w:val="000000"/>
          <w:sz w:val="22"/>
          <w:szCs w:val="22"/>
          <w:lang w:eastAsia="es-MX"/>
        </w:rPr>
        <w:t xml:space="preserve"> </w:t>
      </w:r>
      <w:r w:rsidRPr="004F06F2">
        <w:rPr>
          <w:rFonts w:eastAsia="Times New Roman" w:cs="Times New Roman"/>
          <w:bCs/>
          <w:color w:val="000000"/>
          <w:sz w:val="22"/>
          <w:szCs w:val="22"/>
          <w:lang w:eastAsia="es-MX"/>
        </w:rPr>
        <w:t xml:space="preserve">pesos, correspondientes a la actualización de los saldos en los estados de cuenta, en los casos de fideicomisos financieros y en los Estados de Situación Financiera, correspondientes a la Hacienda Pública/Patrimonio en los casos de los fideicomisos no financieros, lo que representa un </w:t>
      </w:r>
      <w:r w:rsidR="00FF1C4A" w:rsidRPr="004F06F2">
        <w:rPr>
          <w:rFonts w:eastAsia="Times New Roman" w:cs="Times New Roman"/>
          <w:bCs/>
          <w:color w:val="000000"/>
          <w:sz w:val="22"/>
          <w:szCs w:val="22"/>
          <w:lang w:eastAsia="es-MX"/>
        </w:rPr>
        <w:t>7</w:t>
      </w:r>
      <w:r w:rsidRPr="004F06F2">
        <w:rPr>
          <w:rFonts w:eastAsia="Times New Roman" w:cs="Times New Roman"/>
          <w:bCs/>
          <w:color w:val="000000"/>
          <w:sz w:val="22"/>
          <w:szCs w:val="22"/>
          <w:lang w:eastAsia="es-MX"/>
        </w:rPr>
        <w:t xml:space="preserve">% de variación total, respecto del saldo al </w:t>
      </w:r>
      <w:r w:rsidR="00053575" w:rsidRPr="004F06F2">
        <w:rPr>
          <w:rFonts w:eastAsia="Times New Roman" w:cs="Times New Roman"/>
          <w:bCs/>
          <w:color w:val="000000"/>
          <w:sz w:val="22"/>
          <w:szCs w:val="22"/>
          <w:lang w:eastAsia="es-MX"/>
        </w:rPr>
        <w:t xml:space="preserve">31 de </w:t>
      </w:r>
      <w:r w:rsidR="00FF1C4A" w:rsidRPr="004F06F2">
        <w:rPr>
          <w:rFonts w:eastAsia="Times New Roman" w:cs="Times New Roman"/>
          <w:bCs/>
          <w:color w:val="000000"/>
          <w:sz w:val="22"/>
          <w:szCs w:val="22"/>
          <w:lang w:eastAsia="es-MX"/>
        </w:rPr>
        <w:t>marzo</w:t>
      </w:r>
      <w:r w:rsidRPr="004F06F2">
        <w:rPr>
          <w:rFonts w:eastAsia="Times New Roman" w:cs="Times New Roman"/>
          <w:bCs/>
          <w:color w:val="000000"/>
          <w:sz w:val="22"/>
          <w:szCs w:val="22"/>
          <w:lang w:eastAsia="es-MX"/>
        </w:rPr>
        <w:t xml:space="preserve"> de 202</w:t>
      </w:r>
      <w:r w:rsidR="00FF1C4A" w:rsidRPr="004F06F2">
        <w:rPr>
          <w:rFonts w:eastAsia="Times New Roman" w:cs="Times New Roman"/>
          <w:bCs/>
          <w:color w:val="000000"/>
          <w:sz w:val="22"/>
          <w:szCs w:val="22"/>
          <w:lang w:eastAsia="es-MX"/>
        </w:rPr>
        <w:t>3</w:t>
      </w:r>
      <w:r w:rsidRPr="004F06F2">
        <w:rPr>
          <w:rFonts w:eastAsia="Times New Roman" w:cs="Times New Roman"/>
          <w:bCs/>
          <w:color w:val="000000"/>
          <w:sz w:val="22"/>
          <w:szCs w:val="22"/>
          <w:lang w:eastAsia="es-MX"/>
        </w:rPr>
        <w:t>.</w:t>
      </w:r>
    </w:p>
    <w:p w14:paraId="1C4F0647" w14:textId="77777777" w:rsidR="00207781" w:rsidRPr="004F06F2" w:rsidRDefault="00207781" w:rsidP="00207781">
      <w:pPr>
        <w:spacing w:before="0" w:after="0"/>
        <w:rPr>
          <w:rFonts w:eastAsia="Times New Roman" w:cs="Times New Roman"/>
          <w:b/>
          <w:color w:val="000000"/>
          <w:sz w:val="22"/>
          <w:szCs w:val="22"/>
          <w:lang w:eastAsia="es-MX"/>
        </w:rPr>
      </w:pPr>
    </w:p>
    <w:p w14:paraId="4071F319" w14:textId="1740719D" w:rsidR="00C86007" w:rsidRPr="004F06F2" w:rsidRDefault="00C86007" w:rsidP="00B82D70">
      <w:pPr>
        <w:spacing w:before="120" w:after="120"/>
        <w:rPr>
          <w:rFonts w:eastAsia="Calibri" w:cs="Times New Roman"/>
          <w:b/>
          <w:sz w:val="22"/>
          <w:szCs w:val="22"/>
        </w:rPr>
      </w:pPr>
      <w:r w:rsidRPr="004F06F2">
        <w:rPr>
          <w:rFonts w:eastAsia="Calibri" w:cs="Times New Roman"/>
          <w:b/>
          <w:sz w:val="22"/>
          <w:szCs w:val="22"/>
        </w:rPr>
        <w:t xml:space="preserve">7. </w:t>
      </w:r>
      <w:r w:rsidR="00E525B0" w:rsidRPr="004F06F2">
        <w:rPr>
          <w:rFonts w:eastAsia="Calibri" w:cs="Times New Roman"/>
          <w:b/>
          <w:sz w:val="22"/>
          <w:szCs w:val="22"/>
        </w:rPr>
        <w:t>SALDOS DE LAS PARTICIPACIONES Y APORTACIONES DE CAPITAL</w:t>
      </w:r>
    </w:p>
    <w:p w14:paraId="0FE5E2FF" w14:textId="6EEC5F5C" w:rsidR="00207781" w:rsidRPr="004F06F2" w:rsidRDefault="00B82D70" w:rsidP="00592775">
      <w:pPr>
        <w:spacing w:before="120" w:after="120"/>
        <w:rPr>
          <w:rFonts w:eastAsia="Calibri" w:cs="Times New Roman"/>
          <w:bCs/>
          <w:sz w:val="22"/>
          <w:szCs w:val="22"/>
        </w:rPr>
      </w:pPr>
      <w:r w:rsidRPr="004F06F2">
        <w:rPr>
          <w:rFonts w:eastAsia="Calibri" w:cs="Times New Roman"/>
          <w:bCs/>
          <w:sz w:val="22"/>
          <w:szCs w:val="22"/>
        </w:rPr>
        <w:t xml:space="preserve">Se informa la integración del saldo al </w:t>
      </w:r>
      <w:r w:rsidR="00053575" w:rsidRPr="004F06F2">
        <w:rPr>
          <w:rFonts w:eastAsia="Calibri" w:cs="Times New Roman"/>
          <w:bCs/>
          <w:sz w:val="22"/>
          <w:szCs w:val="22"/>
        </w:rPr>
        <w:t xml:space="preserve">31 de </w:t>
      </w:r>
      <w:r w:rsidR="00FF1C4A" w:rsidRPr="004F06F2">
        <w:rPr>
          <w:rFonts w:eastAsia="Calibri" w:cs="Times New Roman"/>
          <w:bCs/>
          <w:sz w:val="22"/>
          <w:szCs w:val="22"/>
        </w:rPr>
        <w:t>marzo</w:t>
      </w:r>
      <w:r w:rsidR="00695FB7" w:rsidRPr="004F06F2">
        <w:rPr>
          <w:rFonts w:eastAsia="Calibri" w:cs="Times New Roman"/>
          <w:bCs/>
          <w:sz w:val="22"/>
          <w:szCs w:val="22"/>
        </w:rPr>
        <w:t xml:space="preserve"> </w:t>
      </w:r>
      <w:r w:rsidRPr="004F06F2">
        <w:rPr>
          <w:rFonts w:eastAsia="Calibri" w:cs="Times New Roman"/>
          <w:bCs/>
          <w:sz w:val="22"/>
          <w:szCs w:val="22"/>
        </w:rPr>
        <w:t>de 202</w:t>
      </w:r>
      <w:r w:rsidR="00FF1C4A" w:rsidRPr="004F06F2">
        <w:rPr>
          <w:rFonts w:eastAsia="Calibri" w:cs="Times New Roman"/>
          <w:bCs/>
          <w:sz w:val="22"/>
          <w:szCs w:val="22"/>
        </w:rPr>
        <w:t>4</w:t>
      </w:r>
      <w:r w:rsidRPr="004F06F2">
        <w:rPr>
          <w:rFonts w:eastAsia="Calibri" w:cs="Times New Roman"/>
          <w:bCs/>
          <w:sz w:val="22"/>
          <w:szCs w:val="22"/>
        </w:rPr>
        <w:t xml:space="preserve"> de la cuenta de Participaciones y Aportaciones de Capital</w:t>
      </w:r>
      <w:r w:rsidR="00C86007" w:rsidRPr="004F06F2">
        <w:rPr>
          <w:rFonts w:eastAsia="Calibri" w:cs="Times New Roman"/>
          <w:bCs/>
          <w:sz w:val="22"/>
          <w:szCs w:val="22"/>
        </w:rPr>
        <w:t xml:space="preserve">, por </w:t>
      </w:r>
      <w:r w:rsidR="004725E4" w:rsidRPr="004F06F2">
        <w:rPr>
          <w:rFonts w:eastAsia="Calibri" w:cs="Times New Roman"/>
          <w:bCs/>
          <w:sz w:val="22"/>
          <w:szCs w:val="22"/>
        </w:rPr>
        <w:t>2</w:t>
      </w:r>
      <w:r w:rsidR="00892C9F" w:rsidRPr="004F06F2">
        <w:rPr>
          <w:rFonts w:eastAsia="Calibri" w:cs="Times New Roman"/>
          <w:bCs/>
          <w:sz w:val="22"/>
          <w:szCs w:val="22"/>
        </w:rPr>
        <w:t>1</w:t>
      </w:r>
      <w:r w:rsidR="00C86007" w:rsidRPr="004F06F2">
        <w:rPr>
          <w:rFonts w:eastAsia="Calibri" w:cs="Times New Roman"/>
          <w:bCs/>
          <w:sz w:val="22"/>
          <w:szCs w:val="22"/>
        </w:rPr>
        <w:t xml:space="preserve"> mil </w:t>
      </w:r>
      <w:r w:rsidR="00892C9F" w:rsidRPr="004F06F2">
        <w:rPr>
          <w:rFonts w:eastAsia="Calibri" w:cs="Times New Roman"/>
          <w:bCs/>
          <w:sz w:val="22"/>
          <w:szCs w:val="22"/>
        </w:rPr>
        <w:t>469</w:t>
      </w:r>
      <w:r w:rsidR="00C86007" w:rsidRPr="004F06F2">
        <w:rPr>
          <w:rFonts w:eastAsia="Calibri" w:cs="Times New Roman"/>
          <w:bCs/>
          <w:sz w:val="22"/>
          <w:szCs w:val="22"/>
        </w:rPr>
        <w:t xml:space="preserve"> millones </w:t>
      </w:r>
      <w:r w:rsidR="00892C9F" w:rsidRPr="004F06F2">
        <w:rPr>
          <w:rFonts w:eastAsia="Calibri" w:cs="Times New Roman"/>
          <w:bCs/>
          <w:sz w:val="22"/>
          <w:szCs w:val="22"/>
        </w:rPr>
        <w:t>610</w:t>
      </w:r>
      <w:r w:rsidR="00C86007" w:rsidRPr="004F06F2">
        <w:rPr>
          <w:rFonts w:eastAsia="Calibri" w:cs="Times New Roman"/>
          <w:bCs/>
          <w:sz w:val="22"/>
          <w:szCs w:val="22"/>
        </w:rPr>
        <w:t xml:space="preserve"> mil </w:t>
      </w:r>
      <w:r w:rsidR="00892C9F" w:rsidRPr="004F06F2">
        <w:rPr>
          <w:rFonts w:eastAsia="Calibri" w:cs="Times New Roman"/>
          <w:bCs/>
          <w:sz w:val="22"/>
          <w:szCs w:val="22"/>
        </w:rPr>
        <w:t>176</w:t>
      </w:r>
      <w:r w:rsidR="00C86007" w:rsidRPr="004F06F2">
        <w:rPr>
          <w:rFonts w:eastAsia="Calibri" w:cs="Times New Roman"/>
          <w:bCs/>
          <w:sz w:val="22"/>
          <w:szCs w:val="22"/>
        </w:rPr>
        <w:t xml:space="preserve"> pesos</w:t>
      </w:r>
      <w:r w:rsidR="00207781" w:rsidRPr="004F06F2">
        <w:rPr>
          <w:rFonts w:eastAsia="Calibri" w:cs="Times New Roman"/>
          <w:bCs/>
          <w:sz w:val="22"/>
          <w:szCs w:val="22"/>
        </w:rPr>
        <w:t>.</w:t>
      </w:r>
      <w:r w:rsidRPr="004F06F2">
        <w:rPr>
          <w:rFonts w:eastAsia="Calibri" w:cs="Times New Roman"/>
          <w:bCs/>
          <w:sz w:val="22"/>
          <w:szCs w:val="22"/>
        </w:rPr>
        <w:t xml:space="preserve"> </w:t>
      </w:r>
    </w:p>
    <w:p w14:paraId="00CBF263" w14:textId="2D7D42BC" w:rsidR="00207781" w:rsidRPr="004F06F2" w:rsidRDefault="00592775" w:rsidP="00207781">
      <w:pPr>
        <w:spacing w:before="0" w:after="0"/>
        <w:rPr>
          <w:rFonts w:eastAsia="Times New Roman" w:cs="Times New Roman"/>
          <w:bCs/>
          <w:color w:val="000000"/>
          <w:sz w:val="22"/>
          <w:szCs w:val="22"/>
          <w:lang w:eastAsia="es-MX"/>
        </w:rPr>
      </w:pPr>
      <w:r w:rsidRPr="004F06F2">
        <w:rPr>
          <w:rFonts w:eastAsia="Times New Roman" w:cs="Times New Roman"/>
          <w:bCs/>
          <w:color w:val="000000"/>
          <w:sz w:val="22"/>
          <w:szCs w:val="22"/>
          <w:lang w:eastAsia="es-MX"/>
        </w:rPr>
        <w:t>El respaldo correspondiente a dich</w:t>
      </w:r>
      <w:r w:rsidR="00573EBA" w:rsidRPr="004F06F2">
        <w:rPr>
          <w:rFonts w:eastAsia="Times New Roman" w:cs="Times New Roman"/>
          <w:bCs/>
          <w:color w:val="000000"/>
          <w:sz w:val="22"/>
          <w:szCs w:val="22"/>
          <w:lang w:eastAsia="es-MX"/>
        </w:rPr>
        <w:t>o</w:t>
      </w:r>
      <w:r w:rsidRPr="004F06F2">
        <w:rPr>
          <w:rFonts w:eastAsia="Times New Roman" w:cs="Times New Roman"/>
          <w:bCs/>
          <w:color w:val="000000"/>
          <w:sz w:val="22"/>
          <w:szCs w:val="22"/>
          <w:lang w:eastAsia="es-MX"/>
        </w:rPr>
        <w:t xml:space="preserve"> </w:t>
      </w:r>
      <w:r w:rsidR="00573EBA" w:rsidRPr="004F06F2">
        <w:rPr>
          <w:rFonts w:eastAsia="Times New Roman" w:cs="Times New Roman"/>
          <w:bCs/>
          <w:color w:val="000000"/>
          <w:sz w:val="22"/>
          <w:szCs w:val="22"/>
          <w:lang w:eastAsia="es-MX"/>
        </w:rPr>
        <w:t>saldo</w:t>
      </w:r>
      <w:r w:rsidRPr="004F06F2">
        <w:rPr>
          <w:rFonts w:eastAsia="Times New Roman" w:cs="Times New Roman"/>
          <w:bCs/>
          <w:color w:val="000000"/>
          <w:sz w:val="22"/>
          <w:szCs w:val="22"/>
          <w:lang w:eastAsia="es-MX"/>
        </w:rPr>
        <w:t xml:space="preserve"> consiste en </w:t>
      </w:r>
      <w:r w:rsidR="00573EBA" w:rsidRPr="004F06F2">
        <w:rPr>
          <w:rFonts w:eastAsia="Times New Roman" w:cs="Times New Roman"/>
          <w:bCs/>
          <w:color w:val="000000"/>
          <w:sz w:val="22"/>
          <w:szCs w:val="22"/>
          <w:lang w:eastAsia="es-MX"/>
        </w:rPr>
        <w:t xml:space="preserve">las cifras de </w:t>
      </w:r>
      <w:r w:rsidRPr="004F06F2">
        <w:rPr>
          <w:rFonts w:eastAsia="Times New Roman" w:cs="Times New Roman"/>
          <w:bCs/>
          <w:color w:val="000000"/>
          <w:sz w:val="22"/>
          <w:szCs w:val="22"/>
          <w:lang w:eastAsia="es-MX"/>
        </w:rPr>
        <w:t>los Estados Financieros que las Entidades Paraestatales presentan a esta Secretaría de Finanzas y está actualizado de conformidad con la oportunidad en que estas los presentan.</w:t>
      </w:r>
    </w:p>
    <w:p w14:paraId="1F3D016C" w14:textId="77777777" w:rsidR="00207781" w:rsidRPr="004F06F2" w:rsidRDefault="00207781" w:rsidP="00207781">
      <w:pPr>
        <w:spacing w:before="0" w:after="0"/>
        <w:rPr>
          <w:rFonts w:eastAsia="Times New Roman" w:cs="Times New Roman"/>
          <w:bCs/>
          <w:color w:val="000000"/>
          <w:sz w:val="22"/>
          <w:szCs w:val="22"/>
          <w:lang w:eastAsia="es-MX"/>
        </w:rPr>
      </w:pPr>
    </w:p>
    <w:p w14:paraId="2F202F86" w14:textId="780ECD15" w:rsidR="00207781" w:rsidRPr="004F06F2" w:rsidRDefault="00207781" w:rsidP="00387CC6">
      <w:pPr>
        <w:spacing w:before="0" w:after="0"/>
        <w:rPr>
          <w:rFonts w:eastAsia="Times New Roman" w:cs="Times New Roman"/>
          <w:bCs/>
          <w:color w:val="000000"/>
          <w:sz w:val="22"/>
          <w:szCs w:val="22"/>
          <w:lang w:eastAsia="es-MX"/>
        </w:rPr>
      </w:pPr>
      <w:r w:rsidRPr="004F06F2">
        <w:rPr>
          <w:rFonts w:eastAsia="Times New Roman" w:cs="Times New Roman"/>
          <w:bCs/>
          <w:color w:val="000000"/>
          <w:sz w:val="22"/>
          <w:szCs w:val="22"/>
          <w:lang w:eastAsia="es-MX"/>
        </w:rPr>
        <w:lastRenderedPageBreak/>
        <w:t>Las aportaciones en las entidades paraestatales se integran como sigue:</w:t>
      </w:r>
    </w:p>
    <w:p w14:paraId="23D92F0D" w14:textId="0B2A532A" w:rsidR="007E1CED" w:rsidRPr="004F06F2" w:rsidRDefault="007E1CED" w:rsidP="00387CC6">
      <w:pPr>
        <w:spacing w:before="0" w:after="0"/>
        <w:rPr>
          <w:rFonts w:eastAsia="Times New Roman" w:cs="Times New Roman"/>
          <w:bCs/>
          <w:color w:val="000000"/>
          <w:sz w:val="22"/>
          <w:szCs w:val="22"/>
          <w:lang w:eastAsia="es-MX"/>
        </w:rPr>
      </w:pPr>
    </w:p>
    <w:p w14:paraId="5B64D25C" w14:textId="7603769B" w:rsidR="004725E4" w:rsidRPr="004F06F2" w:rsidRDefault="00892C9F" w:rsidP="00387CC6">
      <w:pPr>
        <w:spacing w:before="0" w:after="0"/>
        <w:rPr>
          <w:rFonts w:eastAsia="Calibri" w:cs="Times New Roman"/>
          <w:bCs/>
          <w:sz w:val="22"/>
          <w:szCs w:val="22"/>
        </w:rPr>
      </w:pPr>
      <w:r w:rsidRPr="004F06F2">
        <w:rPr>
          <w:noProof/>
          <w:lang w:val="es-MX" w:eastAsia="es-MX"/>
        </w:rPr>
        <w:drawing>
          <wp:inline distT="0" distB="0" distL="0" distR="0" wp14:anchorId="6DB90444" wp14:editId="38A33890">
            <wp:extent cx="6351270" cy="6280270"/>
            <wp:effectExtent l="0" t="0" r="0" b="6350"/>
            <wp:docPr id="107754576" name="Imagen 10775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0" y="0"/>
                      <a:ext cx="6351270" cy="6280270"/>
                    </a:xfrm>
                    <a:prstGeom prst="rect">
                      <a:avLst/>
                    </a:prstGeom>
                    <a:noFill/>
                    <a:ln>
                      <a:noFill/>
                    </a:ln>
                  </pic:spPr>
                </pic:pic>
              </a:graphicData>
            </a:graphic>
          </wp:inline>
        </w:drawing>
      </w:r>
    </w:p>
    <w:p w14:paraId="68BDAC13" w14:textId="77777777" w:rsidR="00E51721" w:rsidRPr="004F06F2" w:rsidRDefault="00E51721" w:rsidP="00B82D70">
      <w:pPr>
        <w:spacing w:before="0" w:after="0"/>
        <w:rPr>
          <w:rFonts w:eastAsia="Calibri" w:cs="Times New Roman"/>
          <w:b/>
          <w:sz w:val="22"/>
          <w:szCs w:val="22"/>
        </w:rPr>
      </w:pPr>
    </w:p>
    <w:p w14:paraId="5F4F4BD9" w14:textId="1EE7871E" w:rsidR="0029041D" w:rsidRPr="004F06F2" w:rsidRDefault="0029041D" w:rsidP="00B82D70">
      <w:pPr>
        <w:spacing w:before="0" w:after="0"/>
        <w:rPr>
          <w:rFonts w:eastAsia="Calibri" w:cs="Times New Roman"/>
          <w:b/>
          <w:sz w:val="22"/>
          <w:szCs w:val="22"/>
        </w:rPr>
      </w:pPr>
      <w:r w:rsidRPr="004F06F2">
        <w:rPr>
          <w:rFonts w:eastAsia="Calibri" w:cs="Times New Roman"/>
          <w:b/>
          <w:sz w:val="22"/>
          <w:szCs w:val="22"/>
        </w:rPr>
        <w:t>BIENES MUEBLES, INMUEBLES E INTA</w:t>
      </w:r>
      <w:r w:rsidR="006E7D4A">
        <w:rPr>
          <w:rFonts w:eastAsia="Calibri" w:cs="Times New Roman"/>
          <w:b/>
          <w:sz w:val="22"/>
          <w:szCs w:val="22"/>
        </w:rPr>
        <w:t>N</w:t>
      </w:r>
      <w:r w:rsidRPr="004F06F2">
        <w:rPr>
          <w:rFonts w:eastAsia="Calibri" w:cs="Times New Roman"/>
          <w:b/>
          <w:sz w:val="22"/>
          <w:szCs w:val="22"/>
        </w:rPr>
        <w:t>GIBLES</w:t>
      </w:r>
      <w:r w:rsidR="006E7D4A">
        <w:rPr>
          <w:rFonts w:eastAsia="Calibri" w:cs="Times New Roman"/>
          <w:b/>
          <w:sz w:val="22"/>
          <w:szCs w:val="22"/>
        </w:rPr>
        <w:t>.</w:t>
      </w:r>
    </w:p>
    <w:p w14:paraId="56AC8ADD" w14:textId="33373AE7" w:rsidR="00B82D70" w:rsidRPr="004F06F2" w:rsidRDefault="0029041D" w:rsidP="00B82D70">
      <w:pPr>
        <w:spacing w:before="0" w:after="0"/>
        <w:rPr>
          <w:rFonts w:ascii="Arial" w:eastAsia="Times New Roman" w:hAnsi="Arial" w:cs="Arial"/>
          <w:b/>
          <w:bCs/>
          <w:color w:val="000000"/>
          <w:sz w:val="22"/>
          <w:szCs w:val="22"/>
          <w:lang w:eastAsia="es-MX"/>
        </w:rPr>
      </w:pPr>
      <w:r w:rsidRPr="004F06F2">
        <w:rPr>
          <w:rFonts w:eastAsia="Calibri" w:cs="Times New Roman"/>
          <w:b/>
          <w:sz w:val="22"/>
          <w:szCs w:val="22"/>
        </w:rPr>
        <w:t xml:space="preserve">8.- </w:t>
      </w:r>
      <w:r w:rsidR="00E525B0" w:rsidRPr="004F06F2">
        <w:rPr>
          <w:rFonts w:eastAsia="Calibri" w:cs="Times New Roman"/>
          <w:b/>
          <w:sz w:val="22"/>
          <w:szCs w:val="22"/>
        </w:rPr>
        <w:t>BIENES MUEBLES E INMUEBLES</w:t>
      </w:r>
      <w:r w:rsidR="006E7D4A">
        <w:rPr>
          <w:rFonts w:eastAsia="Calibri" w:cs="Times New Roman"/>
          <w:b/>
          <w:sz w:val="22"/>
          <w:szCs w:val="22"/>
        </w:rPr>
        <w:t>.</w:t>
      </w:r>
      <w:r w:rsidR="00E525B0" w:rsidRPr="004F06F2">
        <w:rPr>
          <w:rFonts w:ascii="Arial" w:hAnsi="Arial" w:cs="Arial"/>
          <w:b/>
          <w:color w:val="000000"/>
          <w:sz w:val="22"/>
          <w:szCs w:val="22"/>
        </w:rPr>
        <w:t xml:space="preserve"> </w:t>
      </w:r>
      <w:r w:rsidR="00E525B0" w:rsidRPr="004F06F2">
        <w:rPr>
          <w:rFonts w:ascii="Arial" w:eastAsia="Times New Roman" w:hAnsi="Arial" w:cs="Arial"/>
          <w:b/>
          <w:bCs/>
          <w:color w:val="000000"/>
          <w:sz w:val="22"/>
          <w:szCs w:val="22"/>
          <w:lang w:eastAsia="es-MX"/>
        </w:rPr>
        <w:t xml:space="preserve">  </w:t>
      </w:r>
    </w:p>
    <w:p w14:paraId="32931370" w14:textId="47F21BB1" w:rsidR="00B82D70" w:rsidRPr="004F06F2" w:rsidRDefault="00B82D70" w:rsidP="00B82D70">
      <w:pPr>
        <w:spacing w:before="0" w:after="0"/>
        <w:rPr>
          <w:rFonts w:eastAsia="Calibri" w:cs="Times New Roman"/>
          <w:sz w:val="22"/>
          <w:szCs w:val="22"/>
        </w:rPr>
      </w:pPr>
      <w:r w:rsidRPr="004F06F2">
        <w:rPr>
          <w:rFonts w:eastAsia="Calibri" w:cs="Times New Roman"/>
          <w:sz w:val="22"/>
          <w:szCs w:val="22"/>
        </w:rPr>
        <w:t xml:space="preserve">De conformidad con lo dispuesto en los acuerdos donde se establecen las “Principales Reglas de Registro y Valoración del Patrimonio”, publicado en el Diario Oficial de la Federación del 08 de agosto de 2013 y los “Lineamientos </w:t>
      </w:r>
      <w:r w:rsidRPr="004F06F2">
        <w:rPr>
          <w:rFonts w:eastAsia="Calibri" w:cs="Times New Roman"/>
          <w:sz w:val="22"/>
          <w:szCs w:val="22"/>
        </w:rPr>
        <w:lastRenderedPageBreak/>
        <w:t xml:space="preserve">dirigidos a asegurar que el Sistema de Contabilidad Gubernamental facilite el Registro y Control de los Inventarios de Bienes Muebles e Inmuebles de los Entes Públicos” publicado en el Diario Oficial de la Federación del 13 de diciembre de 2011, las cifras que se presentan y que ascienden a un importe de </w:t>
      </w:r>
      <w:r w:rsidR="00602469" w:rsidRPr="004F06F2">
        <w:rPr>
          <w:rFonts w:eastAsia="Calibri" w:cs="Times New Roman"/>
          <w:sz w:val="22"/>
          <w:szCs w:val="22"/>
        </w:rPr>
        <w:t>39</w:t>
      </w:r>
      <w:r w:rsidRPr="004F06F2">
        <w:rPr>
          <w:rFonts w:eastAsia="Calibri" w:cs="Times New Roman"/>
          <w:sz w:val="22"/>
          <w:szCs w:val="22"/>
        </w:rPr>
        <w:t xml:space="preserve"> mil </w:t>
      </w:r>
      <w:r w:rsidR="00602469" w:rsidRPr="004F06F2">
        <w:rPr>
          <w:rFonts w:eastAsia="Calibri" w:cs="Times New Roman"/>
          <w:sz w:val="22"/>
          <w:szCs w:val="22"/>
        </w:rPr>
        <w:t>686</w:t>
      </w:r>
      <w:r w:rsidR="00892E6E" w:rsidRPr="004F06F2">
        <w:rPr>
          <w:rFonts w:eastAsia="Calibri" w:cs="Times New Roman"/>
          <w:sz w:val="22"/>
          <w:szCs w:val="22"/>
        </w:rPr>
        <w:t xml:space="preserve"> </w:t>
      </w:r>
      <w:r w:rsidRPr="004F06F2">
        <w:rPr>
          <w:rFonts w:eastAsia="Calibri" w:cs="Times New Roman"/>
          <w:sz w:val="22"/>
          <w:szCs w:val="22"/>
        </w:rPr>
        <w:t xml:space="preserve">millones </w:t>
      </w:r>
      <w:r w:rsidR="00602469" w:rsidRPr="004F06F2">
        <w:rPr>
          <w:rFonts w:eastAsia="Calibri" w:cs="Times New Roman"/>
          <w:sz w:val="22"/>
          <w:szCs w:val="22"/>
        </w:rPr>
        <w:t>541</w:t>
      </w:r>
      <w:r w:rsidRPr="004F06F2">
        <w:rPr>
          <w:rFonts w:eastAsia="Calibri" w:cs="Times New Roman"/>
          <w:sz w:val="22"/>
          <w:szCs w:val="22"/>
        </w:rPr>
        <w:t xml:space="preserve"> mil </w:t>
      </w:r>
      <w:r w:rsidR="00602469" w:rsidRPr="004F06F2">
        <w:rPr>
          <w:rFonts w:eastAsia="Calibri" w:cs="Times New Roman"/>
          <w:sz w:val="22"/>
          <w:szCs w:val="22"/>
        </w:rPr>
        <w:t>897</w:t>
      </w:r>
      <w:r w:rsidRPr="004F06F2">
        <w:rPr>
          <w:rFonts w:eastAsia="Calibri" w:cs="Times New Roman"/>
          <w:sz w:val="22"/>
          <w:szCs w:val="22"/>
        </w:rPr>
        <w:t xml:space="preserve"> pesos. </w:t>
      </w:r>
    </w:p>
    <w:p w14:paraId="62DEFCFE" w14:textId="77777777" w:rsidR="004725E4" w:rsidRPr="004F06F2" w:rsidRDefault="004725E4" w:rsidP="00B82D70">
      <w:pPr>
        <w:spacing w:before="0" w:after="0"/>
        <w:rPr>
          <w:rFonts w:eastAsia="Calibri" w:cs="Times New Roman"/>
          <w:sz w:val="22"/>
          <w:szCs w:val="22"/>
        </w:rPr>
      </w:pPr>
    </w:p>
    <w:p w14:paraId="04F01CA3" w14:textId="28E3F8DA" w:rsidR="001205F4" w:rsidRPr="004F06F2" w:rsidRDefault="001205F4" w:rsidP="00152561">
      <w:pPr>
        <w:spacing w:before="0" w:after="0"/>
        <w:rPr>
          <w:rFonts w:eastAsia="Calibri" w:cs="Times New Roman"/>
          <w:sz w:val="22"/>
          <w:szCs w:val="22"/>
        </w:rPr>
      </w:pPr>
      <w:r w:rsidRPr="004F06F2">
        <w:rPr>
          <w:rFonts w:eastAsia="Calibri" w:cs="Times New Roman"/>
          <w:sz w:val="22"/>
          <w:szCs w:val="22"/>
        </w:rPr>
        <w:t>El saldo de los bienes inmuebles se muestra como sigue:</w:t>
      </w:r>
    </w:p>
    <w:p w14:paraId="61FC005C" w14:textId="52597F18" w:rsidR="001205F4" w:rsidRPr="004F06F2" w:rsidRDefault="00602469" w:rsidP="00080263">
      <w:pPr>
        <w:spacing w:before="120" w:after="120"/>
        <w:jc w:val="left"/>
        <w:rPr>
          <w:rFonts w:eastAsia="Calibri" w:cs="Times New Roman"/>
          <w:b/>
          <w:color w:val="000000"/>
          <w:sz w:val="22"/>
          <w:szCs w:val="22"/>
        </w:rPr>
      </w:pPr>
      <w:r w:rsidRPr="004F06F2">
        <w:rPr>
          <w:noProof/>
          <w:lang w:val="es-MX" w:eastAsia="es-MX"/>
        </w:rPr>
        <w:drawing>
          <wp:inline distT="0" distB="0" distL="0" distR="0" wp14:anchorId="741E9648" wp14:editId="4F933480">
            <wp:extent cx="6351270" cy="1016754"/>
            <wp:effectExtent l="0" t="0" r="0" b="0"/>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51270" cy="1016754"/>
                    </a:xfrm>
                    <a:prstGeom prst="rect">
                      <a:avLst/>
                    </a:prstGeom>
                    <a:noFill/>
                    <a:ln>
                      <a:noFill/>
                    </a:ln>
                  </pic:spPr>
                </pic:pic>
              </a:graphicData>
            </a:graphic>
          </wp:inline>
        </w:drawing>
      </w:r>
    </w:p>
    <w:p w14:paraId="32F8651F" w14:textId="77777777" w:rsidR="001511BF" w:rsidRPr="004F06F2" w:rsidRDefault="001511BF" w:rsidP="00B82D70">
      <w:pPr>
        <w:spacing w:before="0" w:after="0"/>
        <w:rPr>
          <w:rFonts w:eastAsia="Calibri" w:cs="Times New Roman"/>
          <w:b/>
          <w:color w:val="000000"/>
          <w:sz w:val="22"/>
          <w:szCs w:val="22"/>
        </w:rPr>
      </w:pPr>
    </w:p>
    <w:p w14:paraId="21340350" w14:textId="6300DBAD" w:rsidR="00B82D70" w:rsidRPr="004F06F2" w:rsidRDefault="00B82D70" w:rsidP="00AE0063">
      <w:pPr>
        <w:spacing w:before="0" w:after="0"/>
        <w:rPr>
          <w:rFonts w:eastAsia="Calibri" w:cs="Times New Roman"/>
          <w:b/>
          <w:color w:val="000000"/>
          <w:sz w:val="22"/>
          <w:szCs w:val="22"/>
        </w:rPr>
      </w:pPr>
      <w:r w:rsidRPr="004F06F2">
        <w:rPr>
          <w:rFonts w:eastAsia="Calibri" w:cs="Times New Roman"/>
          <w:b/>
          <w:color w:val="000000"/>
          <w:sz w:val="22"/>
          <w:szCs w:val="22"/>
        </w:rPr>
        <w:t>BIENES MUEBLES</w:t>
      </w:r>
    </w:p>
    <w:p w14:paraId="5385DC73" w14:textId="77777777" w:rsidR="00B82D70" w:rsidRPr="004F06F2" w:rsidRDefault="00B82D70" w:rsidP="00AE0063">
      <w:pPr>
        <w:spacing w:before="0" w:after="0"/>
        <w:rPr>
          <w:rFonts w:eastAsia="Calibri" w:cs="Times New Roman"/>
          <w:color w:val="000000"/>
          <w:sz w:val="22"/>
          <w:szCs w:val="22"/>
        </w:rPr>
      </w:pPr>
      <w:r w:rsidRPr="004F06F2">
        <w:rPr>
          <w:rFonts w:eastAsia="Calibri" w:cs="Times New Roman"/>
          <w:color w:val="000000"/>
          <w:sz w:val="22"/>
          <w:szCs w:val="22"/>
        </w:rPr>
        <w:t xml:space="preserve">Es la incorporación al patrimonio de la Entidad de los bienes muebles, ya sea por adquisiciones o cualquier otro medio de adjudicación y sus efectos, por la desincorporación del patrimonio del Estado de dichos bienes a su valor original, ya sea por su venta o cuando por el deterioro de los mismos no sea posible seguirlos utilizando; se consideran en este rubro: muebles, mobiliario y equipo de oficina, los vehículos, maquinaria, equipo de cómputo, etcétera. </w:t>
      </w:r>
    </w:p>
    <w:p w14:paraId="51670417" w14:textId="77777777" w:rsidR="00B82D70" w:rsidRPr="004F06F2" w:rsidRDefault="00B82D70" w:rsidP="00AE0063">
      <w:pPr>
        <w:spacing w:before="0" w:after="0"/>
        <w:rPr>
          <w:rFonts w:eastAsia="Calibri" w:cs="Times New Roman"/>
          <w:color w:val="000000"/>
          <w:sz w:val="22"/>
          <w:szCs w:val="22"/>
        </w:rPr>
      </w:pPr>
    </w:p>
    <w:p w14:paraId="7814B7CD" w14:textId="77777777" w:rsidR="00B82D70" w:rsidRPr="004F06F2" w:rsidRDefault="00B82D70" w:rsidP="00AE0063">
      <w:pPr>
        <w:spacing w:before="0" w:after="0"/>
        <w:rPr>
          <w:rFonts w:eastAsia="Calibri" w:cs="Times New Roman"/>
          <w:color w:val="000000"/>
          <w:sz w:val="22"/>
          <w:szCs w:val="22"/>
        </w:rPr>
      </w:pPr>
      <w:r w:rsidRPr="004F06F2">
        <w:rPr>
          <w:rFonts w:eastAsia="Calibri" w:cs="Times New Roman"/>
          <w:color w:val="000000"/>
          <w:sz w:val="22"/>
          <w:szCs w:val="22"/>
        </w:rPr>
        <w:t>De manera paralela, se continuó con el registro de los bienes adquiridos durante este ejercicio, tomando como base su documentación comprobatoria y el precio de adquisición.</w:t>
      </w:r>
    </w:p>
    <w:p w14:paraId="327DBB2B" w14:textId="77777777" w:rsidR="002552AE" w:rsidRPr="004F06F2" w:rsidRDefault="002552AE" w:rsidP="00AE0063">
      <w:pPr>
        <w:spacing w:before="0" w:after="0"/>
        <w:rPr>
          <w:rFonts w:eastAsia="Calibri" w:cs="Times New Roman"/>
          <w:color w:val="000000"/>
          <w:sz w:val="22"/>
          <w:szCs w:val="22"/>
        </w:rPr>
      </w:pPr>
    </w:p>
    <w:p w14:paraId="3494B59C" w14:textId="72D5B09B" w:rsidR="00BA5F0B" w:rsidRPr="004F06F2" w:rsidRDefault="00B82D70" w:rsidP="00AE0063">
      <w:pPr>
        <w:spacing w:before="0" w:after="0"/>
        <w:rPr>
          <w:rFonts w:eastAsia="Calibri" w:cs="Times New Roman"/>
          <w:color w:val="000000"/>
          <w:sz w:val="22"/>
          <w:szCs w:val="22"/>
        </w:rPr>
      </w:pPr>
      <w:r w:rsidRPr="004F06F2">
        <w:rPr>
          <w:rFonts w:eastAsia="Calibri" w:cs="Times New Roman"/>
          <w:color w:val="000000"/>
          <w:sz w:val="22"/>
          <w:szCs w:val="22"/>
        </w:rPr>
        <w:t>Estos registros, se realizan de manera simultánea a la afectación presupuestal, en este rubro se llevaron a cabo las depreciaciones correspondientes, siguiendo la Guía de Vida Útil Estimada y Porcentaje de Depreciación.</w:t>
      </w:r>
    </w:p>
    <w:p w14:paraId="3C84D8E3" w14:textId="77777777" w:rsidR="001205F4" w:rsidRPr="004F06F2" w:rsidRDefault="001205F4" w:rsidP="00AE0063">
      <w:pPr>
        <w:spacing w:before="0" w:after="0"/>
        <w:rPr>
          <w:rFonts w:eastAsia="Calibri" w:cs="Times New Roman"/>
          <w:color w:val="000000"/>
          <w:sz w:val="22"/>
          <w:szCs w:val="22"/>
        </w:rPr>
      </w:pPr>
    </w:p>
    <w:p w14:paraId="4807EFF9" w14:textId="77777777" w:rsidR="00B82D70" w:rsidRPr="004F06F2" w:rsidRDefault="00B82D70" w:rsidP="00AE0063">
      <w:pPr>
        <w:spacing w:before="0" w:after="0"/>
        <w:ind w:firstLine="284"/>
        <w:rPr>
          <w:rFonts w:eastAsia="Calibri" w:cs="Times New Roman"/>
          <w:color w:val="000000"/>
          <w:sz w:val="22"/>
          <w:szCs w:val="22"/>
        </w:rPr>
      </w:pPr>
      <w:r w:rsidRPr="004F06F2">
        <w:rPr>
          <w:rFonts w:eastAsia="Calibri" w:cs="Times New Roman"/>
          <w:color w:val="000000"/>
          <w:sz w:val="22"/>
          <w:szCs w:val="22"/>
        </w:rPr>
        <w:t>A continuación, se detalla la integración de este rubro:</w:t>
      </w:r>
    </w:p>
    <w:p w14:paraId="473E2103" w14:textId="5C1C226B" w:rsidR="0055109B" w:rsidRPr="004F06F2" w:rsidRDefault="00602469" w:rsidP="00602469">
      <w:pPr>
        <w:spacing w:before="0" w:after="0"/>
        <w:ind w:firstLine="284"/>
        <w:rPr>
          <w:rFonts w:eastAsia="Calibri" w:cs="Times New Roman"/>
          <w:color w:val="000000"/>
          <w:sz w:val="22"/>
          <w:szCs w:val="22"/>
        </w:rPr>
      </w:pPr>
      <w:r w:rsidRPr="004F06F2">
        <w:rPr>
          <w:noProof/>
          <w:lang w:val="es-MX" w:eastAsia="es-MX"/>
        </w:rPr>
        <w:lastRenderedPageBreak/>
        <w:drawing>
          <wp:inline distT="0" distB="0" distL="0" distR="0" wp14:anchorId="40C41FE6" wp14:editId="55D71DAE">
            <wp:extent cx="6351270" cy="1133311"/>
            <wp:effectExtent l="0" t="0" r="0" b="0"/>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51270" cy="1133311"/>
                    </a:xfrm>
                    <a:prstGeom prst="rect">
                      <a:avLst/>
                    </a:prstGeom>
                    <a:noFill/>
                    <a:ln>
                      <a:noFill/>
                    </a:ln>
                  </pic:spPr>
                </pic:pic>
              </a:graphicData>
            </a:graphic>
          </wp:inline>
        </w:drawing>
      </w:r>
    </w:p>
    <w:p w14:paraId="738DF62D" w14:textId="2E1D2FE4" w:rsidR="00B82D70" w:rsidRPr="004F06F2" w:rsidRDefault="00B82D70" w:rsidP="00072C3D">
      <w:pPr>
        <w:spacing w:before="0" w:after="0"/>
        <w:rPr>
          <w:rFonts w:eastAsia="Calibri" w:cs="Times New Roman"/>
          <w:color w:val="632423"/>
          <w:sz w:val="22"/>
          <w:szCs w:val="22"/>
        </w:rPr>
      </w:pPr>
    </w:p>
    <w:p w14:paraId="3E26B855" w14:textId="6FCA94A8" w:rsidR="00B82D70" w:rsidRPr="004F06F2" w:rsidRDefault="00BA5F0B" w:rsidP="0055109B">
      <w:pPr>
        <w:widowControl w:val="0"/>
        <w:spacing w:before="0" w:after="0"/>
        <w:jc w:val="left"/>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9</w:t>
      </w:r>
      <w:r w:rsidR="00B82D70" w:rsidRPr="004F06F2">
        <w:rPr>
          <w:rFonts w:eastAsia="Times New Roman" w:cs="Times New Roman"/>
          <w:b/>
          <w:color w:val="000000"/>
          <w:sz w:val="22"/>
          <w:szCs w:val="22"/>
          <w:lang w:eastAsia="es-MX"/>
        </w:rPr>
        <w:t>.- ACTIVOS INTANGIBLES</w:t>
      </w:r>
    </w:p>
    <w:p w14:paraId="6C29C12A" w14:textId="6AD45526" w:rsidR="00B82D70" w:rsidRPr="004F06F2" w:rsidRDefault="00B82D70" w:rsidP="0055109B">
      <w:pPr>
        <w:spacing w:before="0" w:after="0"/>
        <w:rPr>
          <w:rFonts w:eastAsia="Calibri" w:cs="Times New Roman"/>
          <w:color w:val="000000"/>
          <w:sz w:val="22"/>
          <w:szCs w:val="22"/>
        </w:rPr>
      </w:pPr>
      <w:r w:rsidRPr="004F06F2">
        <w:rPr>
          <w:rFonts w:eastAsia="Calibri" w:cs="Times New Roman"/>
          <w:color w:val="000000"/>
          <w:sz w:val="22"/>
          <w:szCs w:val="22"/>
        </w:rPr>
        <w:t>Se refiere a las adquisiciones de software y licencias informáticas, necesarios para la operación de las distintas dependencias del Gobierno del Estado y para dar cumplimiento a la normatividad en materia de transparencia, rendición de cuentas y armonización contable.</w:t>
      </w:r>
    </w:p>
    <w:p w14:paraId="03104501" w14:textId="77777777" w:rsidR="001A5C9B" w:rsidRPr="004F06F2" w:rsidRDefault="001A5C9B" w:rsidP="0055109B">
      <w:pPr>
        <w:spacing w:before="0" w:after="0"/>
        <w:rPr>
          <w:rFonts w:eastAsia="Calibri" w:cs="Times New Roman"/>
          <w:color w:val="000000"/>
          <w:sz w:val="22"/>
          <w:szCs w:val="22"/>
        </w:rPr>
      </w:pPr>
    </w:p>
    <w:p w14:paraId="0FB1702A" w14:textId="3BE553FB" w:rsidR="00071170" w:rsidRPr="004F06F2" w:rsidRDefault="00602469" w:rsidP="0055109B">
      <w:pPr>
        <w:spacing w:before="0" w:after="0"/>
        <w:rPr>
          <w:rFonts w:eastAsia="Times New Roman" w:cs="Times New Roman"/>
          <w:b/>
          <w:color w:val="000000"/>
          <w:sz w:val="22"/>
          <w:szCs w:val="22"/>
          <w:lang w:eastAsia="es-MX"/>
        </w:rPr>
      </w:pPr>
      <w:r w:rsidRPr="004F06F2">
        <w:rPr>
          <w:noProof/>
          <w:lang w:val="es-MX" w:eastAsia="es-MX"/>
        </w:rPr>
        <w:drawing>
          <wp:inline distT="0" distB="0" distL="0" distR="0" wp14:anchorId="0148B71C" wp14:editId="5358F328">
            <wp:extent cx="6351270" cy="683427"/>
            <wp:effectExtent l="0" t="0" r="0" b="2540"/>
            <wp:docPr id="17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51270" cy="683427"/>
                    </a:xfrm>
                    <a:prstGeom prst="rect">
                      <a:avLst/>
                    </a:prstGeom>
                    <a:noFill/>
                    <a:ln>
                      <a:noFill/>
                    </a:ln>
                  </pic:spPr>
                </pic:pic>
              </a:graphicData>
            </a:graphic>
          </wp:inline>
        </w:drawing>
      </w:r>
    </w:p>
    <w:p w14:paraId="0569ED01" w14:textId="77777777" w:rsidR="0040304D" w:rsidRPr="004F06F2" w:rsidRDefault="0040304D" w:rsidP="0055109B">
      <w:pPr>
        <w:widowControl w:val="0"/>
        <w:spacing w:before="0" w:after="0"/>
        <w:jc w:val="left"/>
        <w:rPr>
          <w:rFonts w:eastAsia="Times New Roman" w:cs="Times New Roman"/>
          <w:b/>
          <w:color w:val="000000"/>
          <w:sz w:val="22"/>
          <w:szCs w:val="22"/>
          <w:lang w:eastAsia="es-MX"/>
        </w:rPr>
      </w:pPr>
    </w:p>
    <w:p w14:paraId="778952E3" w14:textId="1397CFAD" w:rsidR="00B82D70" w:rsidRPr="004F06F2" w:rsidRDefault="00B82D70" w:rsidP="0055109B">
      <w:pPr>
        <w:widowControl w:val="0"/>
        <w:spacing w:before="0" w:after="0"/>
        <w:jc w:val="left"/>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ACTIVOS DIFERIDOS</w:t>
      </w:r>
    </w:p>
    <w:p w14:paraId="61C67580" w14:textId="17EF1533" w:rsidR="00B82D70" w:rsidRPr="004F06F2" w:rsidRDefault="00B82D70" w:rsidP="0055109B">
      <w:pPr>
        <w:spacing w:before="0" w:after="0"/>
        <w:rPr>
          <w:rFonts w:eastAsia="Calibri" w:cs="Times New Roman"/>
          <w:color w:val="000000"/>
          <w:sz w:val="22"/>
          <w:szCs w:val="22"/>
        </w:rPr>
      </w:pPr>
      <w:r w:rsidRPr="004F06F2">
        <w:rPr>
          <w:rFonts w:eastAsia="Calibri" w:cs="Times New Roman"/>
          <w:color w:val="000000"/>
          <w:sz w:val="22"/>
          <w:szCs w:val="22"/>
        </w:rPr>
        <w:t>Los cargos diferidos son aquellos gastos pagados por anticipado y que no son susceptibles de ser recuperados por el Gobierno del Estado, en ningún momento.</w:t>
      </w:r>
    </w:p>
    <w:p w14:paraId="5063C39F" w14:textId="72BBAC85" w:rsidR="00B82D70" w:rsidRPr="004F06F2" w:rsidRDefault="00B82D70" w:rsidP="0055109B">
      <w:pPr>
        <w:spacing w:before="0" w:after="0"/>
        <w:rPr>
          <w:rFonts w:eastAsia="Calibri" w:cs="Times New Roman"/>
          <w:color w:val="000000"/>
          <w:sz w:val="22"/>
          <w:szCs w:val="22"/>
        </w:rPr>
      </w:pPr>
      <w:r w:rsidRPr="004F06F2">
        <w:rPr>
          <w:rFonts w:eastAsia="Calibri" w:cs="Times New Roman"/>
          <w:color w:val="000000"/>
          <w:sz w:val="22"/>
          <w:szCs w:val="22"/>
        </w:rPr>
        <w:t>En este rubro, se encuentran las inversiones en estudios, formulación y evaluación de proyectos productivos que posteriormente pasarán a integrarse al costo de las inversiones para las cuales fueron realizados.</w:t>
      </w:r>
    </w:p>
    <w:p w14:paraId="2233E812" w14:textId="77777777" w:rsidR="001A5C9B" w:rsidRPr="004F06F2" w:rsidRDefault="001A5C9B" w:rsidP="0055109B">
      <w:pPr>
        <w:spacing w:before="0" w:after="0"/>
        <w:rPr>
          <w:rFonts w:eastAsia="Calibri" w:cs="Times New Roman"/>
          <w:color w:val="000000"/>
          <w:sz w:val="22"/>
          <w:szCs w:val="22"/>
        </w:rPr>
      </w:pPr>
    </w:p>
    <w:p w14:paraId="1E549BE8" w14:textId="21902FE7" w:rsidR="00B82D70" w:rsidRPr="004F06F2" w:rsidRDefault="00602469" w:rsidP="0055109B">
      <w:pPr>
        <w:jc w:val="center"/>
        <w:rPr>
          <w:rFonts w:eastAsia="Calibri" w:cs="Times New Roman"/>
          <w:color w:val="000000"/>
        </w:rPr>
      </w:pPr>
      <w:r w:rsidRPr="004F06F2">
        <w:rPr>
          <w:noProof/>
          <w:lang w:val="es-MX" w:eastAsia="es-MX"/>
        </w:rPr>
        <w:drawing>
          <wp:inline distT="0" distB="0" distL="0" distR="0" wp14:anchorId="03038C40" wp14:editId="5BDDD53D">
            <wp:extent cx="6351270" cy="572462"/>
            <wp:effectExtent l="0" t="0" r="0" b="0"/>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51270" cy="572462"/>
                    </a:xfrm>
                    <a:prstGeom prst="rect">
                      <a:avLst/>
                    </a:prstGeom>
                    <a:noFill/>
                    <a:ln>
                      <a:noFill/>
                    </a:ln>
                  </pic:spPr>
                </pic:pic>
              </a:graphicData>
            </a:graphic>
          </wp:inline>
        </w:drawing>
      </w:r>
    </w:p>
    <w:p w14:paraId="2EEDD166" w14:textId="77777777" w:rsidR="00BA5F0B" w:rsidRPr="004F06F2" w:rsidRDefault="00BA5F0B" w:rsidP="0055109B">
      <w:pPr>
        <w:widowControl w:val="0"/>
        <w:kinsoku w:val="0"/>
        <w:spacing w:before="0" w:after="0"/>
        <w:contextualSpacing/>
        <w:jc w:val="left"/>
        <w:rPr>
          <w:rFonts w:eastAsia="Times New Roman" w:cs="Times New Roman"/>
          <w:b/>
          <w:color w:val="000000"/>
          <w:sz w:val="22"/>
          <w:szCs w:val="22"/>
          <w:lang w:eastAsia="es-MX"/>
        </w:rPr>
      </w:pPr>
    </w:p>
    <w:p w14:paraId="4DD5E3B0" w14:textId="5A9EC4C9" w:rsidR="00A40013" w:rsidRPr="004F06F2" w:rsidRDefault="00A40013" w:rsidP="00072C3D">
      <w:pPr>
        <w:widowControl w:val="0"/>
        <w:kinsoku w:val="0"/>
        <w:spacing w:before="0" w:after="0"/>
        <w:contextualSpacing/>
        <w:jc w:val="left"/>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10. ESTIMACIONES Y DETERIOROS</w:t>
      </w:r>
      <w:r w:rsidR="0056443F">
        <w:rPr>
          <w:rFonts w:eastAsia="Times New Roman" w:cs="Times New Roman"/>
          <w:b/>
          <w:color w:val="000000"/>
          <w:sz w:val="22"/>
          <w:szCs w:val="22"/>
          <w:lang w:eastAsia="es-MX"/>
        </w:rPr>
        <w:t>.</w:t>
      </w:r>
    </w:p>
    <w:p w14:paraId="02E6DB56" w14:textId="10356567" w:rsidR="00A40013" w:rsidRPr="004F06F2" w:rsidRDefault="00450813" w:rsidP="00072C3D">
      <w:pPr>
        <w:widowControl w:val="0"/>
        <w:kinsoku w:val="0"/>
        <w:spacing w:before="0" w:after="0"/>
        <w:contextualSpacing/>
        <w:rPr>
          <w:rFonts w:eastAsia="Times New Roman" w:cs="Times New Roman"/>
          <w:bCs/>
          <w:color w:val="000000"/>
          <w:sz w:val="22"/>
          <w:szCs w:val="22"/>
          <w:lang w:eastAsia="es-MX"/>
        </w:rPr>
      </w:pPr>
      <w:r w:rsidRPr="004F06F2">
        <w:rPr>
          <w:rFonts w:eastAsia="Times New Roman" w:cs="Times New Roman"/>
          <w:bCs/>
          <w:color w:val="000000"/>
          <w:sz w:val="22"/>
          <w:szCs w:val="22"/>
          <w:lang w:eastAsia="es-MX"/>
        </w:rPr>
        <w:t>Las Depreciaciones y deterioros en los bienes propiedad del Gobierno del Estado se realizan de conformidad con lo establecido en la normativa publicada por el Consejo Nacional de Armonización Contable.</w:t>
      </w:r>
    </w:p>
    <w:p w14:paraId="6EF9ABBA" w14:textId="2E74B5DB" w:rsidR="002941C6" w:rsidRPr="004F06F2" w:rsidRDefault="002941C6" w:rsidP="00805BCE">
      <w:pPr>
        <w:spacing w:after="200"/>
        <w:rPr>
          <w:rFonts w:eastAsia="Calibri"/>
          <w:sz w:val="22"/>
          <w:szCs w:val="22"/>
          <w:lang w:val="es-MX"/>
        </w:rPr>
      </w:pPr>
      <w:r w:rsidRPr="004F06F2">
        <w:rPr>
          <w:rFonts w:eastAsia="Calibri"/>
          <w:sz w:val="22"/>
          <w:szCs w:val="22"/>
          <w:lang w:val="es-MX"/>
        </w:rPr>
        <w:t>Por tal motivo se considera el porcentaje verificado para su aplicación de la Depreciación y amortización en los rubros siguientes:</w:t>
      </w:r>
    </w:p>
    <w:p w14:paraId="37ED1862" w14:textId="45DC9EE8" w:rsidR="007E1CED" w:rsidRPr="004F06F2" w:rsidRDefault="007E1CED" w:rsidP="00805BCE">
      <w:pPr>
        <w:spacing w:after="200"/>
        <w:rPr>
          <w:rFonts w:eastAsia="Calibri"/>
          <w:sz w:val="22"/>
          <w:szCs w:val="22"/>
          <w:lang w:val="es-MX"/>
        </w:rPr>
      </w:pPr>
    </w:p>
    <w:tbl>
      <w:tblPr>
        <w:tblStyle w:val="Tablaconcuadrcula1"/>
        <w:tblW w:w="0" w:type="auto"/>
        <w:jc w:val="center"/>
        <w:tblLook w:val="04A0" w:firstRow="1" w:lastRow="0" w:firstColumn="1" w:lastColumn="0" w:noHBand="0" w:noVBand="1"/>
      </w:tblPr>
      <w:tblGrid>
        <w:gridCol w:w="6663"/>
        <w:gridCol w:w="2057"/>
      </w:tblGrid>
      <w:tr w:rsidR="002941C6" w:rsidRPr="004F06F2" w14:paraId="70CAA772" w14:textId="77777777" w:rsidTr="002941C6">
        <w:trPr>
          <w:jc w:val="center"/>
        </w:trPr>
        <w:tc>
          <w:tcPr>
            <w:tcW w:w="6663" w:type="dxa"/>
          </w:tcPr>
          <w:p w14:paraId="76167359" w14:textId="77777777" w:rsidR="002941C6" w:rsidRPr="004F06F2" w:rsidRDefault="002941C6" w:rsidP="003E2C2C">
            <w:pPr>
              <w:spacing w:after="200" w:line="276" w:lineRule="auto"/>
              <w:jc w:val="center"/>
              <w:rPr>
                <w:rFonts w:ascii="GalanoGrotesque-Light" w:eastAsia="Calibri" w:hAnsi="GalanoGrotesque-Light"/>
                <w:b/>
              </w:rPr>
            </w:pPr>
            <w:r w:rsidRPr="004F06F2">
              <w:rPr>
                <w:rFonts w:ascii="GalanoGrotesque-Light" w:eastAsia="Calibri" w:hAnsi="GalanoGrotesque-Light"/>
                <w:b/>
              </w:rPr>
              <w:lastRenderedPageBreak/>
              <w:t>Cuentas de depreciación</w:t>
            </w:r>
          </w:p>
        </w:tc>
        <w:tc>
          <w:tcPr>
            <w:tcW w:w="2057" w:type="dxa"/>
          </w:tcPr>
          <w:p w14:paraId="5654082E" w14:textId="77777777" w:rsidR="002941C6" w:rsidRPr="004F06F2" w:rsidRDefault="002941C6" w:rsidP="002941C6">
            <w:pPr>
              <w:spacing w:after="200" w:line="276" w:lineRule="auto"/>
              <w:jc w:val="center"/>
              <w:rPr>
                <w:rFonts w:ascii="GalanoGrotesque-Light" w:eastAsia="Calibri" w:hAnsi="GalanoGrotesque-Light"/>
                <w:b/>
              </w:rPr>
            </w:pPr>
            <w:r w:rsidRPr="004F06F2">
              <w:rPr>
                <w:rFonts w:ascii="GalanoGrotesque-Light" w:eastAsia="Calibri" w:hAnsi="GalanoGrotesque-Light"/>
                <w:b/>
              </w:rPr>
              <w:t>Porcentaje anual</w:t>
            </w:r>
          </w:p>
        </w:tc>
      </w:tr>
      <w:tr w:rsidR="002941C6" w:rsidRPr="004F06F2" w14:paraId="66112687" w14:textId="77777777" w:rsidTr="002941C6">
        <w:trPr>
          <w:jc w:val="center"/>
        </w:trPr>
        <w:tc>
          <w:tcPr>
            <w:tcW w:w="6663" w:type="dxa"/>
          </w:tcPr>
          <w:p w14:paraId="2986BF58" w14:textId="77777777" w:rsidR="002941C6" w:rsidRPr="004F06F2" w:rsidRDefault="002941C6" w:rsidP="003E2C2C">
            <w:pPr>
              <w:spacing w:after="200" w:line="276" w:lineRule="auto"/>
              <w:jc w:val="both"/>
              <w:rPr>
                <w:rFonts w:ascii="GalanoGrotesque-Light" w:eastAsia="Calibri" w:hAnsi="GalanoGrotesque-Light"/>
              </w:rPr>
            </w:pPr>
            <w:r w:rsidRPr="004F06F2">
              <w:rPr>
                <w:rFonts w:ascii="GalanoGrotesque-Light" w:eastAsia="Calibri" w:hAnsi="GalanoGrotesque-Light"/>
              </w:rPr>
              <w:t>DEP. DE VEH Y EQ TERREST PARA LA EJEC DE PSP.</w:t>
            </w:r>
          </w:p>
        </w:tc>
        <w:tc>
          <w:tcPr>
            <w:tcW w:w="2057" w:type="dxa"/>
          </w:tcPr>
          <w:p w14:paraId="3167616B" w14:textId="7C46CF09" w:rsidR="002941C6" w:rsidRPr="004F06F2" w:rsidRDefault="002941C6" w:rsidP="00573EBA">
            <w:pPr>
              <w:spacing w:after="200" w:line="276" w:lineRule="auto"/>
              <w:jc w:val="center"/>
              <w:rPr>
                <w:rFonts w:ascii="GalanoGrotesque-Light" w:eastAsia="Calibri" w:hAnsi="GalanoGrotesque-Light"/>
              </w:rPr>
            </w:pPr>
            <w:r w:rsidRPr="004F06F2">
              <w:rPr>
                <w:rFonts w:ascii="GalanoGrotesque-Light" w:eastAsia="Calibri" w:hAnsi="GalanoGrotesque-Light"/>
              </w:rPr>
              <w:t>20%</w:t>
            </w:r>
          </w:p>
        </w:tc>
      </w:tr>
      <w:tr w:rsidR="002941C6" w:rsidRPr="004F06F2" w14:paraId="0C6B8C9C" w14:textId="77777777" w:rsidTr="002941C6">
        <w:trPr>
          <w:jc w:val="center"/>
        </w:trPr>
        <w:tc>
          <w:tcPr>
            <w:tcW w:w="6663" w:type="dxa"/>
          </w:tcPr>
          <w:p w14:paraId="3AFFEF05" w14:textId="77777777" w:rsidR="002941C6" w:rsidRPr="004F06F2" w:rsidRDefault="002941C6" w:rsidP="003E2C2C">
            <w:pPr>
              <w:spacing w:after="200" w:line="276" w:lineRule="auto"/>
              <w:jc w:val="both"/>
              <w:rPr>
                <w:rFonts w:ascii="GalanoGrotesque-Light" w:eastAsia="Calibri" w:hAnsi="GalanoGrotesque-Light"/>
              </w:rPr>
            </w:pPr>
            <w:r w:rsidRPr="004F06F2">
              <w:rPr>
                <w:rFonts w:ascii="GalanoGrotesque-Light" w:eastAsia="Calibri" w:hAnsi="GalanoGrotesque-Light"/>
              </w:rPr>
              <w:t>DEP VEH Y EQPOS TERR DESTINADOS A SERVICIOS ADMVOS.</w:t>
            </w:r>
          </w:p>
        </w:tc>
        <w:tc>
          <w:tcPr>
            <w:tcW w:w="2057" w:type="dxa"/>
          </w:tcPr>
          <w:p w14:paraId="078174D4" w14:textId="58C9543A" w:rsidR="002941C6" w:rsidRPr="004F06F2" w:rsidRDefault="002941C6" w:rsidP="00573EBA">
            <w:pPr>
              <w:spacing w:after="200" w:line="276" w:lineRule="auto"/>
              <w:jc w:val="center"/>
              <w:rPr>
                <w:rFonts w:ascii="GalanoGrotesque-Light" w:eastAsia="Calibri" w:hAnsi="GalanoGrotesque-Light"/>
              </w:rPr>
            </w:pPr>
            <w:r w:rsidRPr="004F06F2">
              <w:rPr>
                <w:rFonts w:ascii="GalanoGrotesque-Light" w:eastAsia="Calibri" w:hAnsi="GalanoGrotesque-Light"/>
              </w:rPr>
              <w:t>20%</w:t>
            </w:r>
          </w:p>
        </w:tc>
      </w:tr>
      <w:tr w:rsidR="002941C6" w:rsidRPr="004F06F2" w14:paraId="4F314F13" w14:textId="77777777" w:rsidTr="002941C6">
        <w:trPr>
          <w:jc w:val="center"/>
        </w:trPr>
        <w:tc>
          <w:tcPr>
            <w:tcW w:w="6663" w:type="dxa"/>
          </w:tcPr>
          <w:p w14:paraId="14FDFADE" w14:textId="77777777" w:rsidR="002941C6" w:rsidRPr="00C947B9" w:rsidRDefault="002941C6" w:rsidP="003E2C2C">
            <w:pPr>
              <w:spacing w:after="200" w:line="276" w:lineRule="auto"/>
              <w:jc w:val="both"/>
              <w:rPr>
                <w:rFonts w:ascii="GalanoGrotesque-Light" w:eastAsia="Calibri" w:hAnsi="GalanoGrotesque-Light"/>
                <w:lang w:val="fr-FR"/>
              </w:rPr>
            </w:pPr>
            <w:r w:rsidRPr="00C947B9">
              <w:rPr>
                <w:rFonts w:ascii="GalanoGrotesque-Light" w:eastAsia="Calibri" w:hAnsi="GalanoGrotesque-Light"/>
                <w:lang w:val="fr-FR"/>
              </w:rPr>
              <w:t>DEP. ACUM. DE VEH Y EQPOS TERREST DEST A SERVP CI.</w:t>
            </w:r>
          </w:p>
        </w:tc>
        <w:tc>
          <w:tcPr>
            <w:tcW w:w="2057" w:type="dxa"/>
          </w:tcPr>
          <w:p w14:paraId="6E8DC0FB" w14:textId="2BD1D895" w:rsidR="002941C6" w:rsidRPr="004F06F2" w:rsidRDefault="002941C6" w:rsidP="00573EBA">
            <w:pPr>
              <w:spacing w:after="200" w:line="276" w:lineRule="auto"/>
              <w:jc w:val="center"/>
              <w:rPr>
                <w:rFonts w:ascii="GalanoGrotesque-Light" w:eastAsia="Calibri" w:hAnsi="GalanoGrotesque-Light"/>
              </w:rPr>
            </w:pPr>
            <w:r w:rsidRPr="004F06F2">
              <w:rPr>
                <w:rFonts w:ascii="GalanoGrotesque-Light" w:eastAsia="Calibri" w:hAnsi="GalanoGrotesque-Light"/>
              </w:rPr>
              <w:t>20%</w:t>
            </w:r>
          </w:p>
        </w:tc>
      </w:tr>
    </w:tbl>
    <w:p w14:paraId="31B36957" w14:textId="77777777" w:rsidR="002941C6" w:rsidRPr="004F06F2" w:rsidRDefault="002941C6" w:rsidP="002941C6">
      <w:pPr>
        <w:spacing w:after="200" w:line="276" w:lineRule="auto"/>
        <w:rPr>
          <w:rFonts w:eastAsia="Calibri"/>
          <w:sz w:val="22"/>
          <w:szCs w:val="22"/>
          <w:lang w:val="es-MX"/>
        </w:rPr>
      </w:pPr>
    </w:p>
    <w:p w14:paraId="5A0BDC8A" w14:textId="77777777" w:rsidR="00FE2392" w:rsidRPr="00D17AA6" w:rsidRDefault="00FE2392" w:rsidP="00FE2392">
      <w:pPr>
        <w:rPr>
          <w:sz w:val="22"/>
          <w:szCs w:val="22"/>
        </w:rPr>
      </w:pPr>
      <w:r w:rsidRPr="00D17AA6">
        <w:rPr>
          <w:sz w:val="22"/>
          <w:szCs w:val="22"/>
        </w:rPr>
        <w:t>La depreciación representa la parte estimada de capacidad de los activos que se han consumido durante un periodo, ya que su fin es de índole informativo.</w:t>
      </w:r>
    </w:p>
    <w:p w14:paraId="0D89D691" w14:textId="77777777" w:rsidR="00FE2392" w:rsidRPr="00D17AA6" w:rsidRDefault="00FE2392" w:rsidP="00FE2392">
      <w:pPr>
        <w:rPr>
          <w:sz w:val="22"/>
          <w:szCs w:val="22"/>
        </w:rPr>
      </w:pPr>
      <w:r w:rsidRPr="00D17AA6">
        <w:rPr>
          <w:sz w:val="22"/>
          <w:szCs w:val="22"/>
        </w:rPr>
        <w:t>La depreciación se calcula a partir del mes siguiente al de su registro o control, considerando si la fecha de control de registro es el día 16, se considera para su aplicación de la depreciación al siguiente mes, si la fecha es antes del día 15, se le aplicará en el mismo mes, la depreciación.</w:t>
      </w:r>
    </w:p>
    <w:p w14:paraId="7BF92BA0" w14:textId="77777777" w:rsidR="00FE2392" w:rsidRPr="00D17AA6" w:rsidRDefault="00FE2392" w:rsidP="00FE2392">
      <w:pPr>
        <w:rPr>
          <w:sz w:val="22"/>
          <w:szCs w:val="22"/>
        </w:rPr>
      </w:pPr>
      <w:r w:rsidRPr="00D17AA6">
        <w:rPr>
          <w:sz w:val="22"/>
          <w:szCs w:val="22"/>
        </w:rPr>
        <w:t>Se toma como referencia los parámetros de estimación de Vida Útil, para la aplicación de la Depreciación de bienes muebles, publicado en el Periódico Oficial de la Federación, el día 15 de agosto de 2012.</w:t>
      </w:r>
    </w:p>
    <w:p w14:paraId="210B86BF" w14:textId="18BC53E4" w:rsidR="00FE2392" w:rsidRPr="00D17AA6" w:rsidRDefault="00FE2392" w:rsidP="00FE2392">
      <w:pPr>
        <w:rPr>
          <w:sz w:val="22"/>
          <w:szCs w:val="22"/>
        </w:rPr>
      </w:pPr>
      <w:r w:rsidRPr="00D17AA6">
        <w:rPr>
          <w:sz w:val="22"/>
          <w:szCs w:val="22"/>
        </w:rPr>
        <w:t>En caso de que un bien se encuentre totalmente depreciado, pero se considera que aún cuenta con vida útil, se determinará el tiempo aproximado de vida útil del bien mueble y se mantendrá en la contabilidad el valor correspondiente</w:t>
      </w:r>
      <w:r w:rsidR="00A64C7C" w:rsidRPr="00D17AA6">
        <w:rPr>
          <w:sz w:val="22"/>
          <w:szCs w:val="22"/>
        </w:rPr>
        <w:t>.</w:t>
      </w:r>
    </w:p>
    <w:p w14:paraId="523D1D56" w14:textId="77777777" w:rsidR="00FE2392" w:rsidRPr="00D17AA6" w:rsidRDefault="00FE2392" w:rsidP="00FE2392">
      <w:pPr>
        <w:rPr>
          <w:sz w:val="22"/>
          <w:szCs w:val="22"/>
        </w:rPr>
      </w:pPr>
      <w:r w:rsidRPr="00D17AA6">
        <w:rPr>
          <w:sz w:val="22"/>
          <w:szCs w:val="22"/>
        </w:rPr>
        <w:t>Las obras de arte, animales y terrenos no serán sujetos al proceso de depreciación.</w:t>
      </w:r>
    </w:p>
    <w:p w14:paraId="17C591D9" w14:textId="77777777" w:rsidR="00FE2392" w:rsidRPr="004F06F2" w:rsidRDefault="00FE2392" w:rsidP="00072C3D">
      <w:pPr>
        <w:widowControl w:val="0"/>
        <w:kinsoku w:val="0"/>
        <w:spacing w:before="0" w:after="0"/>
        <w:contextualSpacing/>
        <w:jc w:val="left"/>
        <w:rPr>
          <w:rFonts w:eastAsia="Times New Roman" w:cs="Times New Roman"/>
          <w:b/>
          <w:color w:val="000000"/>
          <w:sz w:val="22"/>
          <w:szCs w:val="22"/>
          <w:lang w:eastAsia="es-MX"/>
        </w:rPr>
      </w:pPr>
    </w:p>
    <w:p w14:paraId="7AF87B30" w14:textId="1D0D96D6" w:rsidR="00A40013" w:rsidRPr="004F06F2" w:rsidRDefault="00A40013" w:rsidP="00072C3D">
      <w:pPr>
        <w:widowControl w:val="0"/>
        <w:kinsoku w:val="0"/>
        <w:spacing w:before="0" w:after="0"/>
        <w:contextualSpacing/>
        <w:jc w:val="left"/>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11.- OTROS ACTIVOS</w:t>
      </w:r>
    </w:p>
    <w:p w14:paraId="35528935" w14:textId="3BDFB8FE" w:rsidR="00A40013" w:rsidRPr="00D17AA6" w:rsidRDefault="00A40013" w:rsidP="00072C3D">
      <w:pPr>
        <w:widowControl w:val="0"/>
        <w:kinsoku w:val="0"/>
        <w:spacing w:before="0" w:after="0"/>
        <w:contextualSpacing/>
        <w:jc w:val="left"/>
        <w:rPr>
          <w:rFonts w:eastAsia="Times New Roman" w:cs="Times New Roman"/>
          <w:bCs/>
          <w:color w:val="000000"/>
          <w:sz w:val="22"/>
          <w:szCs w:val="22"/>
          <w:lang w:eastAsia="es-MX"/>
        </w:rPr>
      </w:pPr>
      <w:r w:rsidRPr="00D17AA6">
        <w:rPr>
          <w:rFonts w:eastAsia="Times New Roman" w:cs="Times New Roman"/>
          <w:bCs/>
          <w:color w:val="000000"/>
          <w:sz w:val="22"/>
          <w:szCs w:val="22"/>
          <w:lang w:eastAsia="es-MX"/>
        </w:rPr>
        <w:t>El Gobierno del Estado de Michoacán no cuenta con activos diferentes a los ya señalados</w:t>
      </w:r>
    </w:p>
    <w:p w14:paraId="2DF92D5F" w14:textId="77777777" w:rsidR="00A40013" w:rsidRPr="004F06F2" w:rsidRDefault="00A40013" w:rsidP="00072C3D">
      <w:pPr>
        <w:widowControl w:val="0"/>
        <w:kinsoku w:val="0"/>
        <w:spacing w:before="0" w:after="0"/>
        <w:contextualSpacing/>
        <w:jc w:val="left"/>
        <w:rPr>
          <w:rFonts w:eastAsia="Times New Roman" w:cs="Times New Roman"/>
          <w:b/>
          <w:color w:val="000000"/>
          <w:sz w:val="22"/>
          <w:szCs w:val="22"/>
          <w:lang w:eastAsia="es-MX"/>
        </w:rPr>
      </w:pPr>
    </w:p>
    <w:p w14:paraId="7486FFC8" w14:textId="218CB49A" w:rsidR="00B82D70" w:rsidRPr="004F06F2" w:rsidRDefault="00B82D70" w:rsidP="00072C3D">
      <w:pPr>
        <w:widowControl w:val="0"/>
        <w:kinsoku w:val="0"/>
        <w:spacing w:before="0" w:after="0"/>
        <w:contextualSpacing/>
        <w:jc w:val="left"/>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PASIVO</w:t>
      </w:r>
    </w:p>
    <w:p w14:paraId="31E5F76D" w14:textId="1F34CEA8" w:rsidR="00B82D70" w:rsidRPr="004F06F2" w:rsidRDefault="00B82D70" w:rsidP="00072C3D">
      <w:pPr>
        <w:widowControl w:val="0"/>
        <w:kinsoku w:val="0"/>
        <w:spacing w:before="0" w:after="0"/>
        <w:contextualSpacing/>
        <w:rPr>
          <w:rFonts w:eastAsia="Times New Roman" w:cs="Times New Roman"/>
          <w:color w:val="000000"/>
          <w:sz w:val="22"/>
          <w:szCs w:val="22"/>
          <w:lang w:eastAsia="es-MX"/>
        </w:rPr>
      </w:pPr>
      <w:r w:rsidRPr="004F06F2">
        <w:rPr>
          <w:rFonts w:eastAsia="Times New Roman" w:cs="Times New Roman"/>
          <w:color w:val="000000"/>
          <w:sz w:val="22"/>
          <w:szCs w:val="22"/>
          <w:lang w:eastAsia="es-MX"/>
        </w:rPr>
        <w:t xml:space="preserve">Son las obligaciones presentes del Gobierno del Estado, virtualmente ineludibles, identificadas, cuantificadas en términos monetarios y que representan una disminución futura de beneficios económicos, derivadas de operaciones ocurridas en el pasado que le han afectado económicamente. </w:t>
      </w:r>
    </w:p>
    <w:p w14:paraId="5B19A965" w14:textId="77777777" w:rsidR="00450813" w:rsidRPr="004F06F2" w:rsidRDefault="00450813" w:rsidP="00072C3D">
      <w:pPr>
        <w:widowControl w:val="0"/>
        <w:kinsoku w:val="0"/>
        <w:spacing w:before="0" w:after="0"/>
        <w:contextualSpacing/>
        <w:rPr>
          <w:rFonts w:eastAsia="Times New Roman" w:cs="Times New Roman"/>
          <w:color w:val="000000"/>
          <w:sz w:val="22"/>
          <w:szCs w:val="22"/>
          <w:lang w:eastAsia="es-MX"/>
        </w:rPr>
      </w:pPr>
    </w:p>
    <w:p w14:paraId="04686139" w14:textId="3035A92E" w:rsidR="00C0303A" w:rsidRPr="004F06F2" w:rsidRDefault="00B82D70" w:rsidP="00072C3D">
      <w:pPr>
        <w:widowControl w:val="0"/>
        <w:kinsoku w:val="0"/>
        <w:spacing w:before="0" w:after="0"/>
        <w:contextualSpacing/>
        <w:rPr>
          <w:rFonts w:eastAsia="Times New Roman" w:cs="Times New Roman"/>
          <w:color w:val="000000"/>
          <w:sz w:val="22"/>
          <w:szCs w:val="22"/>
          <w:lang w:eastAsia="es-MX"/>
        </w:rPr>
      </w:pPr>
      <w:r w:rsidRPr="004F06F2">
        <w:rPr>
          <w:rFonts w:eastAsia="Times New Roman" w:cs="Times New Roman"/>
          <w:color w:val="000000"/>
          <w:sz w:val="22"/>
          <w:szCs w:val="22"/>
          <w:lang w:eastAsia="es-MX"/>
        </w:rPr>
        <w:lastRenderedPageBreak/>
        <w:t xml:space="preserve">Este apartado se compone de dos grupos, como se observa en el cuadro que a continuación se presenta, en los que inciden pasivos derivados de operaciones por servicios personales, cuentas por pagar por operaciones presupuestarias devengadas y contabilizadas al </w:t>
      </w:r>
      <w:r w:rsidR="00053575" w:rsidRPr="004F06F2">
        <w:rPr>
          <w:rFonts w:eastAsia="Times New Roman" w:cs="Times New Roman"/>
          <w:color w:val="000000"/>
          <w:sz w:val="22"/>
          <w:szCs w:val="22"/>
          <w:lang w:eastAsia="es-MX"/>
        </w:rPr>
        <w:t xml:space="preserve">31 de </w:t>
      </w:r>
      <w:r w:rsidR="00FE2392" w:rsidRPr="004F06F2">
        <w:rPr>
          <w:rFonts w:eastAsia="Times New Roman" w:cs="Times New Roman"/>
          <w:color w:val="000000"/>
          <w:sz w:val="22"/>
          <w:szCs w:val="22"/>
          <w:lang w:eastAsia="es-MX"/>
        </w:rPr>
        <w:t>marzo</w:t>
      </w:r>
      <w:r w:rsidRPr="004F06F2">
        <w:rPr>
          <w:rFonts w:eastAsia="Times New Roman" w:cs="Times New Roman"/>
          <w:color w:val="000000"/>
          <w:sz w:val="22"/>
          <w:szCs w:val="22"/>
          <w:lang w:eastAsia="es-MX"/>
        </w:rPr>
        <w:t xml:space="preserve"> de 202</w:t>
      </w:r>
      <w:r w:rsidR="00FE2392" w:rsidRPr="004F06F2">
        <w:rPr>
          <w:rFonts w:eastAsia="Times New Roman" w:cs="Times New Roman"/>
          <w:color w:val="000000"/>
          <w:sz w:val="22"/>
          <w:szCs w:val="22"/>
          <w:lang w:eastAsia="es-MX"/>
        </w:rPr>
        <w:t>4</w:t>
      </w:r>
      <w:r w:rsidRPr="004F06F2">
        <w:rPr>
          <w:rFonts w:eastAsia="Times New Roman" w:cs="Times New Roman"/>
          <w:color w:val="000000"/>
          <w:sz w:val="22"/>
          <w:szCs w:val="22"/>
          <w:lang w:eastAsia="es-MX"/>
        </w:rPr>
        <w:t xml:space="preserve">, pasivos por </w:t>
      </w:r>
      <w:r w:rsidR="00FE2392" w:rsidRPr="004F06F2">
        <w:rPr>
          <w:rFonts w:eastAsia="Times New Roman" w:cs="Times New Roman"/>
          <w:color w:val="000000"/>
          <w:sz w:val="22"/>
          <w:szCs w:val="22"/>
          <w:lang w:eastAsia="es-MX"/>
        </w:rPr>
        <w:t>obligaciones</w:t>
      </w:r>
      <w:r w:rsidRPr="004F06F2">
        <w:rPr>
          <w:rFonts w:eastAsia="Times New Roman" w:cs="Times New Roman"/>
          <w:color w:val="000000"/>
          <w:sz w:val="22"/>
          <w:szCs w:val="22"/>
          <w:lang w:eastAsia="es-MX"/>
        </w:rPr>
        <w:t xml:space="preserve"> fiscales y laborales, acreedores diversos y pasivos por deudas contraídas a corto y largo plazo.</w:t>
      </w:r>
    </w:p>
    <w:p w14:paraId="1D0F263B" w14:textId="7F2D5D93" w:rsidR="00744BAB" w:rsidRPr="004F06F2" w:rsidRDefault="00D573AB" w:rsidP="0055109B">
      <w:pPr>
        <w:tabs>
          <w:tab w:val="left" w:pos="480"/>
        </w:tabs>
        <w:spacing w:before="120" w:after="120"/>
        <w:jc w:val="center"/>
        <w:rPr>
          <w:rFonts w:eastAsia="Calibri" w:cs="Times New Roman"/>
          <w:b/>
          <w:color w:val="000000"/>
        </w:rPr>
      </w:pPr>
      <w:r w:rsidRPr="004F06F2">
        <w:rPr>
          <w:noProof/>
          <w:lang w:val="es-MX" w:eastAsia="es-MX"/>
        </w:rPr>
        <w:drawing>
          <wp:inline distT="0" distB="0" distL="0" distR="0" wp14:anchorId="253A66C8" wp14:editId="2AC75C9C">
            <wp:extent cx="6351270" cy="46672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51270" cy="466720"/>
                    </a:xfrm>
                    <a:prstGeom prst="rect">
                      <a:avLst/>
                    </a:prstGeom>
                    <a:noFill/>
                    <a:ln>
                      <a:noFill/>
                    </a:ln>
                  </pic:spPr>
                </pic:pic>
              </a:graphicData>
            </a:graphic>
          </wp:inline>
        </w:drawing>
      </w:r>
    </w:p>
    <w:p w14:paraId="06DE75A1" w14:textId="0BF38E3D" w:rsidR="00744BAB" w:rsidRPr="004F06F2" w:rsidRDefault="0070010C" w:rsidP="0055109B">
      <w:pPr>
        <w:widowControl w:val="0"/>
        <w:kinsoku w:val="0"/>
        <w:spacing w:before="0" w:after="0"/>
        <w:contextualSpacing/>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 xml:space="preserve">1. </w:t>
      </w:r>
      <w:r w:rsidR="00B82D70" w:rsidRPr="004F06F2">
        <w:rPr>
          <w:rFonts w:eastAsia="Times New Roman" w:cs="Times New Roman"/>
          <w:b/>
          <w:color w:val="000000"/>
          <w:sz w:val="22"/>
          <w:szCs w:val="22"/>
          <w:lang w:eastAsia="es-MX"/>
        </w:rPr>
        <w:t>PASIVO CIRCULANTE</w:t>
      </w:r>
      <w:r w:rsidRPr="004F06F2">
        <w:rPr>
          <w:rFonts w:eastAsia="Times New Roman" w:cs="Times New Roman"/>
          <w:b/>
          <w:color w:val="000000"/>
          <w:sz w:val="22"/>
          <w:szCs w:val="22"/>
          <w:lang w:eastAsia="es-MX"/>
        </w:rPr>
        <w:t xml:space="preserve"> (CUENTAS POR PAGAR A 30, 90, 180 Y MENOR O IGUAL A 365 DÍAS)</w:t>
      </w:r>
      <w:r w:rsidR="00B82D70" w:rsidRPr="004F06F2">
        <w:rPr>
          <w:rFonts w:eastAsia="Times New Roman" w:cs="Times New Roman"/>
          <w:b/>
          <w:color w:val="000000"/>
          <w:sz w:val="22"/>
          <w:szCs w:val="22"/>
          <w:lang w:eastAsia="es-MX"/>
        </w:rPr>
        <w:t xml:space="preserve"> </w:t>
      </w:r>
    </w:p>
    <w:p w14:paraId="521A494A" w14:textId="40B50DE5" w:rsidR="00B82D70" w:rsidRPr="004F06F2" w:rsidRDefault="00B82D70" w:rsidP="0055109B">
      <w:pPr>
        <w:widowControl w:val="0"/>
        <w:kinsoku w:val="0"/>
        <w:spacing w:before="0" w:after="0"/>
        <w:contextualSpacing/>
        <w:rPr>
          <w:rFonts w:eastAsia="Times New Roman" w:cs="Times New Roman"/>
          <w:color w:val="000000"/>
          <w:sz w:val="22"/>
          <w:szCs w:val="22"/>
          <w:lang w:eastAsia="es-MX"/>
        </w:rPr>
      </w:pPr>
      <w:r w:rsidRPr="004F06F2">
        <w:rPr>
          <w:rFonts w:eastAsia="Times New Roman" w:cs="Times New Roman"/>
          <w:color w:val="000000"/>
          <w:sz w:val="22"/>
          <w:szCs w:val="22"/>
          <w:lang w:eastAsia="es-MX"/>
        </w:rPr>
        <w:t>En este apartado, se presentan las obligaciones cuyo vencimiento será en un período menor o igual a doce meses, y se integra por las siguientes cuentas principalmente:</w:t>
      </w:r>
    </w:p>
    <w:p w14:paraId="7CE2D6B1" w14:textId="249041C1" w:rsidR="00496BBA" w:rsidRPr="004F06F2" w:rsidRDefault="00940F5C" w:rsidP="0055109B">
      <w:pPr>
        <w:widowControl w:val="0"/>
        <w:kinsoku w:val="0"/>
        <w:spacing w:before="0" w:after="0"/>
        <w:contextualSpacing/>
        <w:rPr>
          <w:rFonts w:eastAsia="Times New Roman" w:cs="Times New Roman"/>
          <w:color w:val="000000"/>
          <w:sz w:val="22"/>
          <w:szCs w:val="22"/>
          <w:lang w:eastAsia="es-MX"/>
        </w:rPr>
      </w:pPr>
      <w:r w:rsidRPr="004F06F2">
        <w:rPr>
          <w:noProof/>
          <w:lang w:val="es-MX" w:eastAsia="es-MX"/>
        </w:rPr>
        <w:drawing>
          <wp:inline distT="0" distB="0" distL="0" distR="0" wp14:anchorId="334EBAC1" wp14:editId="3C92B53E">
            <wp:extent cx="6351270" cy="794930"/>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51270" cy="794930"/>
                    </a:xfrm>
                    <a:prstGeom prst="rect">
                      <a:avLst/>
                    </a:prstGeom>
                    <a:noFill/>
                    <a:ln>
                      <a:noFill/>
                    </a:ln>
                  </pic:spPr>
                </pic:pic>
              </a:graphicData>
            </a:graphic>
          </wp:inline>
        </w:drawing>
      </w:r>
    </w:p>
    <w:p w14:paraId="3E3D466E" w14:textId="77777777" w:rsidR="005A01C9" w:rsidRPr="004F06F2" w:rsidRDefault="005A01C9" w:rsidP="0055109B">
      <w:pPr>
        <w:widowControl w:val="0"/>
        <w:kinsoku w:val="0"/>
        <w:spacing w:before="0" w:after="0"/>
        <w:contextualSpacing/>
        <w:rPr>
          <w:rFonts w:eastAsia="Times New Roman" w:cs="Times New Roman"/>
          <w:b/>
          <w:color w:val="000000"/>
          <w:sz w:val="22"/>
          <w:szCs w:val="22"/>
          <w:lang w:eastAsia="es-MX"/>
        </w:rPr>
      </w:pPr>
    </w:p>
    <w:p w14:paraId="7C8A0B3B" w14:textId="6FA959FE" w:rsidR="00B82D70" w:rsidRPr="004F06F2" w:rsidRDefault="00B82D70" w:rsidP="0055109B">
      <w:pPr>
        <w:widowControl w:val="0"/>
        <w:kinsoku w:val="0"/>
        <w:spacing w:before="0" w:after="0"/>
        <w:contextualSpacing/>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CUENTAS POR PAGAR A CORTO PLAZO</w:t>
      </w:r>
      <w:r w:rsidRPr="004F06F2">
        <w:rPr>
          <w:rFonts w:eastAsia="Calibri" w:cs="Times New Roman"/>
          <w:sz w:val="22"/>
          <w:szCs w:val="22"/>
        </w:rPr>
        <w:t xml:space="preserve"> </w:t>
      </w:r>
    </w:p>
    <w:p w14:paraId="49F584AF" w14:textId="700826C7" w:rsidR="00C0303A" w:rsidRPr="004F06F2" w:rsidRDefault="00B82D70" w:rsidP="00B82D70">
      <w:pPr>
        <w:widowControl w:val="0"/>
        <w:kinsoku w:val="0"/>
        <w:spacing w:before="0" w:after="0"/>
        <w:contextualSpacing/>
        <w:rPr>
          <w:rFonts w:eastAsia="Times New Roman" w:cs="Times New Roman"/>
          <w:color w:val="000000"/>
          <w:sz w:val="22"/>
          <w:szCs w:val="22"/>
          <w:lang w:eastAsia="es-MX"/>
        </w:rPr>
      </w:pPr>
      <w:r w:rsidRPr="004F06F2">
        <w:rPr>
          <w:rFonts w:eastAsia="Times New Roman" w:cs="Times New Roman"/>
          <w:color w:val="000000"/>
          <w:sz w:val="22"/>
          <w:szCs w:val="22"/>
          <w:lang w:eastAsia="es-MX"/>
        </w:rPr>
        <w:t>En el renglón de Cuentas por Pagar Corto Plazo, se incluyeron, para su presentación, los siguientes conceptos:</w:t>
      </w:r>
    </w:p>
    <w:p w14:paraId="15565F50" w14:textId="31266CE3" w:rsidR="00B82D70" w:rsidRPr="004F06F2" w:rsidRDefault="00940F5C" w:rsidP="00334784">
      <w:pPr>
        <w:widowControl w:val="0"/>
        <w:kinsoku w:val="0"/>
        <w:spacing w:before="0" w:after="0"/>
        <w:contextualSpacing/>
        <w:jc w:val="left"/>
        <w:rPr>
          <w:rFonts w:eastAsia="Times New Roman" w:cs="Times New Roman"/>
          <w:color w:val="833C0B"/>
          <w:lang w:eastAsia="es-MX"/>
        </w:rPr>
      </w:pPr>
      <w:r w:rsidRPr="004F06F2">
        <w:rPr>
          <w:noProof/>
          <w:lang w:val="es-MX" w:eastAsia="es-MX"/>
        </w:rPr>
        <w:drawing>
          <wp:inline distT="0" distB="0" distL="0" distR="0" wp14:anchorId="2BFC48FB" wp14:editId="0529B0CA">
            <wp:extent cx="6351270" cy="1234121"/>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51270" cy="1234121"/>
                    </a:xfrm>
                    <a:prstGeom prst="rect">
                      <a:avLst/>
                    </a:prstGeom>
                    <a:noFill/>
                    <a:ln>
                      <a:noFill/>
                    </a:ln>
                  </pic:spPr>
                </pic:pic>
              </a:graphicData>
            </a:graphic>
          </wp:inline>
        </w:drawing>
      </w:r>
    </w:p>
    <w:p w14:paraId="7E9B2E65" w14:textId="073F2524" w:rsidR="005270C7" w:rsidRPr="004F06F2" w:rsidRDefault="005270C7" w:rsidP="0070010C">
      <w:pPr>
        <w:spacing w:before="0" w:after="0"/>
        <w:rPr>
          <w:rFonts w:eastAsia="Calibri" w:cs="Times New Roman"/>
          <w:b/>
          <w:sz w:val="22"/>
          <w:szCs w:val="22"/>
        </w:rPr>
      </w:pPr>
    </w:p>
    <w:p w14:paraId="60E67A22" w14:textId="1DEF40F1" w:rsidR="0070010C" w:rsidRPr="004F06F2" w:rsidRDefault="0070010C" w:rsidP="0070010C">
      <w:pPr>
        <w:spacing w:before="0" w:after="0"/>
        <w:rPr>
          <w:rFonts w:eastAsia="Calibri" w:cs="Times New Roman"/>
          <w:b/>
          <w:sz w:val="22"/>
          <w:szCs w:val="22"/>
        </w:rPr>
      </w:pPr>
      <w:r w:rsidRPr="004F06F2">
        <w:rPr>
          <w:rFonts w:eastAsia="Calibri" w:cs="Times New Roman"/>
          <w:b/>
          <w:sz w:val="22"/>
          <w:szCs w:val="22"/>
        </w:rPr>
        <w:t>OTROS PASIVOS A CORTO PLAZO</w:t>
      </w:r>
    </w:p>
    <w:p w14:paraId="04E8508F" w14:textId="77777777" w:rsidR="0070010C" w:rsidRPr="004F06F2" w:rsidRDefault="0070010C" w:rsidP="0070010C">
      <w:pPr>
        <w:spacing w:before="0" w:after="0"/>
        <w:rPr>
          <w:rFonts w:eastAsia="Calibri" w:cs="Times New Roman"/>
          <w:sz w:val="22"/>
          <w:szCs w:val="22"/>
        </w:rPr>
      </w:pPr>
      <w:r w:rsidRPr="004F06F2">
        <w:rPr>
          <w:rFonts w:eastAsia="Calibri" w:cs="Times New Roman"/>
          <w:sz w:val="22"/>
          <w:szCs w:val="22"/>
        </w:rPr>
        <w:t>La cuenta de Otros Pasivos a Corto Plazo se integra por los siguientes conceptos:</w:t>
      </w:r>
    </w:p>
    <w:p w14:paraId="5F672822" w14:textId="54473162" w:rsidR="0070010C" w:rsidRPr="004F06F2" w:rsidRDefault="00602469" w:rsidP="0070010C">
      <w:pPr>
        <w:spacing w:before="0" w:after="0"/>
        <w:rPr>
          <w:noProof/>
        </w:rPr>
      </w:pPr>
      <w:r w:rsidRPr="004F06F2">
        <w:rPr>
          <w:noProof/>
          <w:lang w:val="es-MX" w:eastAsia="es-MX"/>
        </w:rPr>
        <w:drawing>
          <wp:inline distT="0" distB="0" distL="0" distR="0" wp14:anchorId="6CA5506F" wp14:editId="6FCB8E27">
            <wp:extent cx="6351270" cy="572462"/>
            <wp:effectExtent l="0" t="0" r="0" b="0"/>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51270" cy="572462"/>
                    </a:xfrm>
                    <a:prstGeom prst="rect">
                      <a:avLst/>
                    </a:prstGeom>
                    <a:noFill/>
                    <a:ln>
                      <a:noFill/>
                    </a:ln>
                  </pic:spPr>
                </pic:pic>
              </a:graphicData>
            </a:graphic>
          </wp:inline>
        </w:drawing>
      </w:r>
    </w:p>
    <w:p w14:paraId="7BD22BF0" w14:textId="77777777" w:rsidR="00722C65" w:rsidRPr="004F06F2" w:rsidRDefault="00722C65" w:rsidP="0070010C">
      <w:pPr>
        <w:spacing w:before="0" w:after="0"/>
        <w:rPr>
          <w:rFonts w:eastAsia="Calibri" w:cs="Times New Roman"/>
          <w:sz w:val="10"/>
          <w:szCs w:val="10"/>
        </w:rPr>
      </w:pPr>
    </w:p>
    <w:p w14:paraId="25D6EDCF" w14:textId="77777777" w:rsidR="00C24CC7" w:rsidRPr="004F06F2" w:rsidRDefault="0070010C" w:rsidP="0070010C">
      <w:pPr>
        <w:spacing w:before="0" w:after="0"/>
        <w:rPr>
          <w:rFonts w:eastAsia="Calibri" w:cs="Times New Roman"/>
          <w:sz w:val="22"/>
          <w:szCs w:val="22"/>
        </w:rPr>
      </w:pPr>
      <w:r w:rsidRPr="004F06F2">
        <w:rPr>
          <w:rFonts w:eastAsia="Calibri" w:cs="Times New Roman"/>
          <w:sz w:val="22"/>
          <w:szCs w:val="22"/>
        </w:rPr>
        <w:lastRenderedPageBreak/>
        <w:t>El saldo de este apartado, está integrado prácticamente por los conceptos federales recaudados de conformidad con las disposiciones establecidas en el artículo 13 de la Ley de Coordinación Fiscal, y las cláusulas de las secciones III y IV del Convenio de Colaboración Administrativa en Materia Fiscal Federal para efecto que al cierre del período no se han compensado con la federación;</w:t>
      </w:r>
    </w:p>
    <w:p w14:paraId="2E3F7DF1" w14:textId="77777777" w:rsidR="00C24CC7" w:rsidRPr="004F06F2" w:rsidRDefault="00C24CC7" w:rsidP="0070010C">
      <w:pPr>
        <w:spacing w:before="0" w:after="0"/>
        <w:rPr>
          <w:rFonts w:eastAsia="Calibri" w:cs="Times New Roman"/>
          <w:sz w:val="22"/>
          <w:szCs w:val="22"/>
        </w:rPr>
      </w:pPr>
    </w:p>
    <w:p w14:paraId="501A8B17" w14:textId="46EF802D" w:rsidR="0070010C" w:rsidRPr="004F06F2" w:rsidRDefault="00C24CC7" w:rsidP="0070010C">
      <w:pPr>
        <w:spacing w:before="0" w:after="0"/>
        <w:rPr>
          <w:rFonts w:eastAsia="Calibri" w:cs="Times New Roman"/>
          <w:b/>
          <w:sz w:val="22"/>
          <w:szCs w:val="22"/>
        </w:rPr>
      </w:pPr>
      <w:r w:rsidRPr="004F06F2">
        <w:rPr>
          <w:rFonts w:eastAsia="Calibri" w:cs="Times New Roman"/>
          <w:sz w:val="22"/>
          <w:szCs w:val="22"/>
        </w:rPr>
        <w:t>Se</w:t>
      </w:r>
      <w:r w:rsidR="0070010C" w:rsidRPr="004F06F2">
        <w:rPr>
          <w:rFonts w:eastAsia="Calibri" w:cs="Times New Roman"/>
          <w:sz w:val="22"/>
          <w:szCs w:val="22"/>
        </w:rPr>
        <w:t xml:space="preserve"> compensan estos saldos al mes siguiente tal como lo estipula la legislación mencionada. Al cierre del período no se han compensado con la federación</w:t>
      </w:r>
      <w:r w:rsidR="0029751E">
        <w:rPr>
          <w:rFonts w:eastAsia="Calibri" w:cs="Times New Roman"/>
          <w:sz w:val="22"/>
          <w:szCs w:val="22"/>
        </w:rPr>
        <w:t xml:space="preserve"> y</w:t>
      </w:r>
      <w:r w:rsidR="0070010C" w:rsidRPr="004F06F2">
        <w:rPr>
          <w:rFonts w:eastAsia="Calibri" w:cs="Times New Roman"/>
          <w:sz w:val="22"/>
          <w:szCs w:val="22"/>
        </w:rPr>
        <w:t xml:space="preserve"> que representan el </w:t>
      </w:r>
      <w:r w:rsidR="00573EBA" w:rsidRPr="004F06F2">
        <w:rPr>
          <w:rFonts w:eastAsia="Calibri" w:cs="Times New Roman"/>
          <w:sz w:val="22"/>
          <w:szCs w:val="22"/>
        </w:rPr>
        <w:t>31</w:t>
      </w:r>
      <w:r w:rsidR="0070010C" w:rsidRPr="004F06F2">
        <w:rPr>
          <w:rFonts w:eastAsia="Calibri" w:cs="Times New Roman"/>
          <w:sz w:val="22"/>
          <w:szCs w:val="22"/>
        </w:rPr>
        <w:t>% del total</w:t>
      </w:r>
      <w:r w:rsidR="00334784" w:rsidRPr="004F06F2">
        <w:rPr>
          <w:rFonts w:eastAsia="Calibri" w:cs="Times New Roman"/>
          <w:sz w:val="22"/>
          <w:szCs w:val="22"/>
        </w:rPr>
        <w:t xml:space="preserve"> del rubro de Pasivo Circulante.</w:t>
      </w:r>
    </w:p>
    <w:p w14:paraId="0AE603A7" w14:textId="77777777" w:rsidR="00072C3D" w:rsidRPr="004F06F2" w:rsidRDefault="00072C3D" w:rsidP="00B82D70">
      <w:pPr>
        <w:spacing w:before="0" w:after="0"/>
        <w:rPr>
          <w:rFonts w:eastAsia="Calibri" w:cs="Times New Roman"/>
          <w:b/>
          <w:sz w:val="22"/>
          <w:szCs w:val="22"/>
        </w:rPr>
      </w:pPr>
    </w:p>
    <w:p w14:paraId="7B2B94C1" w14:textId="11C6C1B2" w:rsidR="00B82D70" w:rsidRPr="004F06F2" w:rsidRDefault="00B82D70" w:rsidP="00B82D70">
      <w:pPr>
        <w:spacing w:before="0" w:after="0"/>
        <w:rPr>
          <w:rFonts w:eastAsia="Calibri" w:cs="Times New Roman"/>
          <w:b/>
          <w:sz w:val="22"/>
          <w:szCs w:val="22"/>
        </w:rPr>
      </w:pPr>
      <w:r w:rsidRPr="004F06F2">
        <w:rPr>
          <w:rFonts w:eastAsia="Calibri" w:cs="Times New Roman"/>
          <w:b/>
          <w:sz w:val="22"/>
          <w:szCs w:val="22"/>
        </w:rPr>
        <w:t>2.- FONDOS Y BIENES DE TERCEROS EN GARANTÍA Y/O ADMINISTRACIÓN</w:t>
      </w:r>
    </w:p>
    <w:p w14:paraId="51F6B76F" w14:textId="43B43FDA" w:rsidR="00B82D70" w:rsidRPr="004F06F2" w:rsidRDefault="00B82D70" w:rsidP="00B82D70">
      <w:pPr>
        <w:spacing w:before="0" w:after="0"/>
        <w:rPr>
          <w:rFonts w:eastAsia="Calibri" w:cs="Times New Roman"/>
          <w:sz w:val="22"/>
          <w:szCs w:val="22"/>
        </w:rPr>
      </w:pPr>
      <w:r w:rsidRPr="004F06F2">
        <w:rPr>
          <w:rFonts w:eastAsia="Calibri" w:cs="Times New Roman"/>
          <w:sz w:val="22"/>
          <w:szCs w:val="22"/>
        </w:rPr>
        <w:t>El renglón de Fondos y Bienes de Terceros en Garantía y/ o Administración a Corto Plazo, se integra la de los siguientes fondos:</w:t>
      </w:r>
    </w:p>
    <w:p w14:paraId="3C5AB091" w14:textId="77777777" w:rsidR="001A5C9B" w:rsidRPr="004F06F2" w:rsidRDefault="001A5C9B" w:rsidP="00B82D70">
      <w:pPr>
        <w:spacing w:before="0" w:after="0"/>
        <w:rPr>
          <w:rFonts w:eastAsia="Calibri" w:cs="Times New Roman"/>
          <w:sz w:val="22"/>
          <w:szCs w:val="22"/>
        </w:rPr>
      </w:pPr>
    </w:p>
    <w:p w14:paraId="750257B2" w14:textId="521524BA" w:rsidR="008027FC" w:rsidRPr="004F06F2" w:rsidRDefault="00602469" w:rsidP="00B82D70">
      <w:pPr>
        <w:spacing w:before="0" w:after="0"/>
        <w:rPr>
          <w:rFonts w:eastAsia="Calibri" w:cs="Times New Roman"/>
          <w:sz w:val="22"/>
          <w:szCs w:val="22"/>
        </w:rPr>
      </w:pPr>
      <w:r w:rsidRPr="004F06F2">
        <w:rPr>
          <w:noProof/>
          <w:lang w:val="es-MX" w:eastAsia="es-MX"/>
        </w:rPr>
        <w:drawing>
          <wp:inline distT="0" distB="0" distL="0" distR="0" wp14:anchorId="59090A35" wp14:editId="5276CBAA">
            <wp:extent cx="6351270" cy="467517"/>
            <wp:effectExtent l="0" t="0" r="0" b="8890"/>
            <wp:docPr id="181"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51270" cy="467517"/>
                    </a:xfrm>
                    <a:prstGeom prst="rect">
                      <a:avLst/>
                    </a:prstGeom>
                    <a:noFill/>
                    <a:ln>
                      <a:noFill/>
                    </a:ln>
                  </pic:spPr>
                </pic:pic>
              </a:graphicData>
            </a:graphic>
          </wp:inline>
        </w:drawing>
      </w:r>
    </w:p>
    <w:p w14:paraId="12936FC1" w14:textId="15E0ABAC" w:rsidR="00B82D70" w:rsidRPr="004F06F2" w:rsidRDefault="00B82D70" w:rsidP="00071170">
      <w:pPr>
        <w:spacing w:before="0" w:after="0"/>
        <w:rPr>
          <w:rFonts w:eastAsia="Calibri" w:cs="Times New Roman"/>
          <w:sz w:val="10"/>
          <w:szCs w:val="10"/>
        </w:rPr>
      </w:pPr>
    </w:p>
    <w:p w14:paraId="7E3473BA" w14:textId="77777777" w:rsidR="001A5C9B" w:rsidRPr="004F06F2" w:rsidRDefault="001A5C9B" w:rsidP="00072C3D">
      <w:pPr>
        <w:spacing w:before="0" w:after="0"/>
        <w:rPr>
          <w:rFonts w:eastAsia="Calibri" w:cs="Times New Roman"/>
          <w:color w:val="000000"/>
          <w:sz w:val="22"/>
          <w:szCs w:val="22"/>
        </w:rPr>
      </w:pPr>
    </w:p>
    <w:p w14:paraId="3D32FB0E" w14:textId="5AC68480" w:rsidR="00B82D70" w:rsidRPr="004F06F2" w:rsidRDefault="001A5C9B" w:rsidP="00072C3D">
      <w:pPr>
        <w:spacing w:before="0" w:after="0"/>
        <w:rPr>
          <w:rFonts w:eastAsia="Calibri" w:cs="Times New Roman"/>
          <w:color w:val="000000"/>
          <w:sz w:val="22"/>
          <w:szCs w:val="22"/>
        </w:rPr>
      </w:pPr>
      <w:r w:rsidRPr="004F06F2">
        <w:rPr>
          <w:rFonts w:eastAsia="Calibri" w:cs="Times New Roman"/>
          <w:color w:val="000000"/>
          <w:sz w:val="22"/>
          <w:szCs w:val="22"/>
        </w:rPr>
        <w:t>Los Fondos y D</w:t>
      </w:r>
      <w:r w:rsidR="00B82D70" w:rsidRPr="004F06F2">
        <w:rPr>
          <w:rFonts w:eastAsia="Calibri" w:cs="Times New Roman"/>
          <w:color w:val="000000"/>
          <w:sz w:val="22"/>
          <w:szCs w:val="22"/>
        </w:rPr>
        <w:t>epósitos en Garantía que tiene el Gobierno del Estado, se integran por los conceptos de depósitos por órdenes judiciales y administrativas que realiza el sector privado por orden de un juez, como parte del proceso de un juicio, así como por los depósitos en garantía del pago de impuestos de multas federales no fiscales, que se reciben para garantizar la aplicación posterior en el pago de dichos conceptos una vez que la autoridad fiscalizadora los determine como procedentes y en firme.</w:t>
      </w:r>
    </w:p>
    <w:p w14:paraId="67D62DE9" w14:textId="77777777" w:rsidR="00B82D70" w:rsidRPr="004F06F2" w:rsidRDefault="00B82D70" w:rsidP="00072C3D">
      <w:pPr>
        <w:spacing w:before="0" w:after="0"/>
        <w:ind w:left="425"/>
        <w:rPr>
          <w:rFonts w:eastAsia="Calibri" w:cs="Times New Roman"/>
          <w:sz w:val="22"/>
          <w:szCs w:val="22"/>
        </w:rPr>
      </w:pPr>
    </w:p>
    <w:p w14:paraId="1EAC3E14" w14:textId="402FA13E" w:rsidR="00B82D70" w:rsidRPr="004F06F2" w:rsidRDefault="00B82D70" w:rsidP="00072C3D">
      <w:pPr>
        <w:spacing w:before="0" w:after="0"/>
        <w:rPr>
          <w:rFonts w:eastAsia="Calibri" w:cs="Times New Roman"/>
          <w:sz w:val="22"/>
          <w:szCs w:val="22"/>
        </w:rPr>
      </w:pPr>
      <w:r w:rsidRPr="004F06F2">
        <w:rPr>
          <w:rFonts w:eastAsia="Calibri" w:cs="Times New Roman"/>
          <w:sz w:val="22"/>
          <w:szCs w:val="22"/>
        </w:rPr>
        <w:t>Los recursos que se reciben como Fondos en Administración, se refieren a aquellos que recibe el Estado solo en calidad de administrador para que una vez cumplidas las condiciones estipuladas en los convenios mediante los cuales se adquirió esta responsabilidad, sean aplicados o reintegrados de conformidad con dichas condiciones.</w:t>
      </w:r>
    </w:p>
    <w:p w14:paraId="49E62DAC" w14:textId="77777777" w:rsidR="00B82D70" w:rsidRPr="004F06F2" w:rsidRDefault="00B82D70" w:rsidP="00072C3D">
      <w:pPr>
        <w:spacing w:before="0" w:after="0"/>
        <w:rPr>
          <w:rFonts w:eastAsia="Calibri" w:cs="Times New Roman"/>
          <w:sz w:val="22"/>
          <w:szCs w:val="22"/>
        </w:rPr>
      </w:pPr>
    </w:p>
    <w:p w14:paraId="395EF2C0" w14:textId="74C0055B" w:rsidR="00B924C2" w:rsidRPr="004F06F2" w:rsidRDefault="00B82D70" w:rsidP="00072C3D">
      <w:pPr>
        <w:spacing w:before="0" w:after="0"/>
        <w:rPr>
          <w:rFonts w:eastAsia="Calibri" w:cs="Times New Roman"/>
          <w:sz w:val="22"/>
          <w:szCs w:val="22"/>
        </w:rPr>
      </w:pPr>
      <w:r w:rsidRPr="004F06F2">
        <w:rPr>
          <w:rFonts w:eastAsia="Calibri" w:cs="Times New Roman"/>
          <w:sz w:val="22"/>
          <w:szCs w:val="22"/>
        </w:rPr>
        <w:t xml:space="preserve">Entre ellos se encuentran, aquellos que se reciben para la regularización de fraccionamientos, algunas aportaciones de acreedores del </w:t>
      </w:r>
      <w:r w:rsidRPr="004F06F2">
        <w:rPr>
          <w:rFonts w:eastAsia="Calibri" w:cs="Times New Roman"/>
          <w:color w:val="000000"/>
          <w:sz w:val="22"/>
          <w:szCs w:val="22"/>
        </w:rPr>
        <w:t>Instituto de Seguridad y Servicios Sociales de los Trabajadores del Estado</w:t>
      </w:r>
      <w:r w:rsidRPr="004F06F2">
        <w:rPr>
          <w:rFonts w:eastAsia="Calibri" w:cs="Times New Roman"/>
          <w:sz w:val="22"/>
          <w:szCs w:val="22"/>
        </w:rPr>
        <w:t xml:space="preserve">, o por concepto </w:t>
      </w:r>
      <w:r w:rsidRPr="004F06F2">
        <w:rPr>
          <w:rFonts w:eastAsia="Calibri" w:cs="Times New Roman"/>
          <w:sz w:val="22"/>
          <w:szCs w:val="22"/>
        </w:rPr>
        <w:lastRenderedPageBreak/>
        <w:t>de cinco al millar de obras por parte de diversos Entes Públicos para entregar a la Secretaría de Contraloría, o los conceptos de propiedad inmobiliaria que se recaudan en apoyo a algunos municipios que no cuentan con la infraestructura para llevar a cabo esta actividad, así como el Impuesto Sobre la Renta reintegrado por la federación para entregarlo en su mayoría a los Municipios del Estado.</w:t>
      </w:r>
    </w:p>
    <w:p w14:paraId="2B559958" w14:textId="77777777" w:rsidR="00722C65" w:rsidRPr="004F06F2" w:rsidRDefault="00722C65" w:rsidP="00072C3D">
      <w:pPr>
        <w:widowControl w:val="0"/>
        <w:kinsoku w:val="0"/>
        <w:spacing w:before="0" w:after="0"/>
        <w:contextualSpacing/>
        <w:rPr>
          <w:rFonts w:eastAsia="Times New Roman" w:cs="Times New Roman"/>
          <w:b/>
          <w:color w:val="000000"/>
          <w:sz w:val="22"/>
          <w:szCs w:val="22"/>
          <w:lang w:eastAsia="es-MX"/>
        </w:rPr>
      </w:pPr>
    </w:p>
    <w:p w14:paraId="5726ADA4" w14:textId="44B6C3F2" w:rsidR="00B82D70" w:rsidRPr="004F06F2" w:rsidRDefault="00B82D70" w:rsidP="00072C3D">
      <w:pPr>
        <w:widowControl w:val="0"/>
        <w:kinsoku w:val="0"/>
        <w:spacing w:before="0" w:after="0"/>
        <w:contextualSpacing/>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PASIVO NO CIRCULANTE</w:t>
      </w:r>
      <w:r w:rsidR="0070010C" w:rsidRPr="004F06F2">
        <w:rPr>
          <w:rFonts w:eastAsia="Times New Roman" w:cs="Times New Roman"/>
          <w:b/>
          <w:color w:val="000000"/>
          <w:sz w:val="22"/>
          <w:szCs w:val="22"/>
          <w:lang w:eastAsia="es-MX"/>
        </w:rPr>
        <w:t xml:space="preserve"> (CUENTAS POR PAGAR CON VENCIMIENTO MAYOR A 365 DÍAS)</w:t>
      </w:r>
    </w:p>
    <w:p w14:paraId="01E05422" w14:textId="2DE20227" w:rsidR="00B82D70" w:rsidRPr="004F06F2" w:rsidRDefault="00B82D70" w:rsidP="00072C3D">
      <w:pPr>
        <w:widowControl w:val="0"/>
        <w:kinsoku w:val="0"/>
        <w:spacing w:before="0" w:after="0"/>
        <w:contextualSpacing/>
        <w:rPr>
          <w:rFonts w:eastAsia="Times New Roman" w:cs="Times New Roman"/>
          <w:color w:val="000000"/>
          <w:sz w:val="22"/>
          <w:szCs w:val="22"/>
          <w:lang w:eastAsia="es-MX"/>
        </w:rPr>
      </w:pPr>
      <w:r w:rsidRPr="004F06F2">
        <w:rPr>
          <w:rFonts w:eastAsia="Times New Roman" w:cs="Times New Roman"/>
          <w:color w:val="000000"/>
          <w:sz w:val="22"/>
          <w:szCs w:val="22"/>
          <w:lang w:eastAsia="es-MX"/>
        </w:rPr>
        <w:t>El pasivo no circulante se integra la Deuda Pública a Largo Plazo como a continuación se detalla, y representa las obligaciones a cargo del Gobierno del Estado de Michoacán de Ocampo derivadas de la contratación de créditos con instituciones financieras; esta integración se presenta en el apartado del Estado Analítico de la Deuda.</w:t>
      </w:r>
    </w:p>
    <w:p w14:paraId="0CD5FB98" w14:textId="77777777" w:rsidR="001A5C9B" w:rsidRPr="004F06F2" w:rsidRDefault="001A5C9B" w:rsidP="00072C3D">
      <w:pPr>
        <w:widowControl w:val="0"/>
        <w:kinsoku w:val="0"/>
        <w:spacing w:before="0" w:after="0"/>
        <w:contextualSpacing/>
        <w:rPr>
          <w:rFonts w:eastAsia="Times New Roman" w:cs="Times New Roman"/>
          <w:color w:val="000000"/>
          <w:sz w:val="22"/>
          <w:szCs w:val="22"/>
          <w:lang w:eastAsia="es-MX"/>
        </w:rPr>
      </w:pPr>
    </w:p>
    <w:p w14:paraId="351F749A" w14:textId="425380A6" w:rsidR="009627F2" w:rsidRPr="004F06F2" w:rsidRDefault="00D573AB" w:rsidP="00334784">
      <w:pPr>
        <w:widowControl w:val="0"/>
        <w:kinsoku w:val="0"/>
        <w:spacing w:before="0" w:after="0"/>
        <w:contextualSpacing/>
        <w:rPr>
          <w:color w:val="864A04" w:themeColor="accent2" w:themeShade="80"/>
        </w:rPr>
      </w:pPr>
      <w:r w:rsidRPr="004F06F2">
        <w:rPr>
          <w:noProof/>
          <w:lang w:val="es-MX" w:eastAsia="es-MX"/>
        </w:rPr>
        <w:drawing>
          <wp:inline distT="0" distB="0" distL="0" distR="0" wp14:anchorId="21BB5FF5" wp14:editId="07102ACA">
            <wp:extent cx="6351270" cy="355740"/>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51270" cy="355740"/>
                    </a:xfrm>
                    <a:prstGeom prst="rect">
                      <a:avLst/>
                    </a:prstGeom>
                    <a:noFill/>
                    <a:ln>
                      <a:noFill/>
                    </a:ln>
                  </pic:spPr>
                </pic:pic>
              </a:graphicData>
            </a:graphic>
          </wp:inline>
        </w:drawing>
      </w:r>
    </w:p>
    <w:p w14:paraId="2E2DA3E4" w14:textId="77777777" w:rsidR="003440B7" w:rsidRPr="004F06F2" w:rsidRDefault="003440B7" w:rsidP="00072C3D">
      <w:pPr>
        <w:spacing w:before="0" w:after="0"/>
        <w:rPr>
          <w:rFonts w:eastAsia="Calibri" w:cs="Times New Roman"/>
          <w:b/>
          <w:sz w:val="22"/>
          <w:szCs w:val="22"/>
        </w:rPr>
      </w:pPr>
    </w:p>
    <w:p w14:paraId="139AD870" w14:textId="36933271" w:rsidR="009627F2" w:rsidRPr="004F06F2" w:rsidRDefault="009627F2" w:rsidP="00072C3D">
      <w:pPr>
        <w:spacing w:before="0" w:after="0"/>
        <w:rPr>
          <w:rFonts w:eastAsia="Calibri" w:cs="Times New Roman"/>
          <w:b/>
          <w:sz w:val="22"/>
          <w:szCs w:val="22"/>
        </w:rPr>
      </w:pPr>
      <w:r w:rsidRPr="004F06F2">
        <w:rPr>
          <w:rFonts w:eastAsia="Calibri" w:cs="Times New Roman"/>
          <w:b/>
          <w:sz w:val="22"/>
          <w:szCs w:val="22"/>
        </w:rPr>
        <w:t>3.- PASIVOS DIFERIDOS.</w:t>
      </w:r>
    </w:p>
    <w:p w14:paraId="40397814" w14:textId="77777777" w:rsidR="003440B7" w:rsidRPr="004F06F2" w:rsidRDefault="003440B7" w:rsidP="00072C3D">
      <w:pPr>
        <w:spacing w:before="0" w:after="0"/>
        <w:rPr>
          <w:rFonts w:eastAsia="Calibri" w:cs="Times New Roman"/>
          <w:sz w:val="22"/>
          <w:szCs w:val="22"/>
        </w:rPr>
      </w:pPr>
    </w:p>
    <w:p w14:paraId="2488AC15" w14:textId="58039114" w:rsidR="009627F2" w:rsidRPr="004F06F2" w:rsidRDefault="009627F2" w:rsidP="00072C3D">
      <w:pPr>
        <w:spacing w:before="0" w:after="0"/>
        <w:rPr>
          <w:rFonts w:eastAsia="Calibri" w:cs="Times New Roman"/>
          <w:sz w:val="22"/>
          <w:szCs w:val="22"/>
        </w:rPr>
      </w:pPr>
      <w:r w:rsidRPr="004F06F2">
        <w:rPr>
          <w:rFonts w:eastAsia="Calibri" w:cs="Times New Roman"/>
          <w:sz w:val="22"/>
          <w:szCs w:val="22"/>
        </w:rPr>
        <w:t>El Gobierno del Estado de Michoacán no cuenta con pasivos diferidos</w:t>
      </w:r>
      <w:r w:rsidR="00433718" w:rsidRPr="004F06F2">
        <w:rPr>
          <w:rFonts w:eastAsia="Calibri" w:cs="Times New Roman"/>
          <w:sz w:val="22"/>
          <w:szCs w:val="22"/>
        </w:rPr>
        <w:t>.</w:t>
      </w:r>
    </w:p>
    <w:p w14:paraId="27F52BC9" w14:textId="77777777" w:rsidR="003440B7" w:rsidRPr="004F06F2" w:rsidRDefault="003440B7" w:rsidP="00072C3D">
      <w:pPr>
        <w:spacing w:before="0" w:after="0"/>
        <w:rPr>
          <w:rFonts w:eastAsia="Calibri" w:cs="Times New Roman"/>
          <w:b/>
          <w:sz w:val="22"/>
          <w:szCs w:val="22"/>
        </w:rPr>
      </w:pPr>
    </w:p>
    <w:p w14:paraId="71C27830" w14:textId="173EB8DB" w:rsidR="009627F2" w:rsidRPr="004F06F2" w:rsidRDefault="009627F2" w:rsidP="00072C3D">
      <w:pPr>
        <w:spacing w:before="0" w:after="0"/>
        <w:rPr>
          <w:rFonts w:eastAsia="Calibri" w:cs="Times New Roman"/>
          <w:b/>
          <w:sz w:val="22"/>
          <w:szCs w:val="22"/>
        </w:rPr>
      </w:pPr>
      <w:r w:rsidRPr="004F06F2">
        <w:rPr>
          <w:rFonts w:eastAsia="Calibri" w:cs="Times New Roman"/>
          <w:b/>
          <w:sz w:val="22"/>
          <w:szCs w:val="22"/>
        </w:rPr>
        <w:t>4.- PROVISIONES</w:t>
      </w:r>
    </w:p>
    <w:p w14:paraId="2B5392F5" w14:textId="77777777" w:rsidR="003440B7" w:rsidRPr="004F06F2" w:rsidRDefault="003440B7" w:rsidP="00072C3D">
      <w:pPr>
        <w:spacing w:before="0" w:after="0"/>
        <w:rPr>
          <w:rFonts w:eastAsia="Calibri" w:cs="Times New Roman"/>
          <w:sz w:val="22"/>
          <w:szCs w:val="22"/>
        </w:rPr>
      </w:pPr>
    </w:p>
    <w:p w14:paraId="4740EE13" w14:textId="1BE19385" w:rsidR="009627F2" w:rsidRPr="004F06F2" w:rsidRDefault="009627F2" w:rsidP="00072C3D">
      <w:pPr>
        <w:spacing w:before="0" w:after="0"/>
        <w:rPr>
          <w:rFonts w:eastAsia="Calibri" w:cs="Times New Roman"/>
          <w:sz w:val="22"/>
          <w:szCs w:val="22"/>
        </w:rPr>
      </w:pPr>
      <w:r w:rsidRPr="004F06F2">
        <w:rPr>
          <w:rFonts w:eastAsia="Calibri" w:cs="Times New Roman"/>
          <w:sz w:val="22"/>
          <w:szCs w:val="22"/>
        </w:rPr>
        <w:t>El Gobierno del Estado de Michoacán no ha creado provisiones</w:t>
      </w:r>
      <w:r w:rsidR="00433718" w:rsidRPr="004F06F2">
        <w:rPr>
          <w:rFonts w:eastAsia="Calibri" w:cs="Times New Roman"/>
          <w:sz w:val="22"/>
          <w:szCs w:val="22"/>
        </w:rPr>
        <w:t>.</w:t>
      </w:r>
    </w:p>
    <w:p w14:paraId="039D7C37" w14:textId="77777777" w:rsidR="003440B7" w:rsidRPr="004F06F2" w:rsidRDefault="003440B7" w:rsidP="00072C3D">
      <w:pPr>
        <w:spacing w:before="0" w:after="0"/>
        <w:rPr>
          <w:rFonts w:eastAsia="Calibri" w:cs="Times New Roman"/>
          <w:b/>
          <w:sz w:val="22"/>
          <w:szCs w:val="22"/>
        </w:rPr>
      </w:pPr>
    </w:p>
    <w:p w14:paraId="2BE17B13" w14:textId="27B415AF" w:rsidR="009627F2" w:rsidRPr="004F06F2" w:rsidRDefault="009627F2" w:rsidP="00072C3D">
      <w:pPr>
        <w:spacing w:before="0" w:after="0"/>
        <w:rPr>
          <w:rFonts w:eastAsia="Calibri" w:cs="Times New Roman"/>
          <w:b/>
          <w:sz w:val="22"/>
          <w:szCs w:val="22"/>
        </w:rPr>
      </w:pPr>
      <w:r w:rsidRPr="004F06F2">
        <w:rPr>
          <w:rFonts w:eastAsia="Calibri" w:cs="Times New Roman"/>
          <w:b/>
          <w:sz w:val="22"/>
          <w:szCs w:val="22"/>
        </w:rPr>
        <w:t>5.- OTROS PASIVOS</w:t>
      </w:r>
    </w:p>
    <w:p w14:paraId="14922CFF" w14:textId="6FA5C852" w:rsidR="00401D23" w:rsidRPr="004F06F2" w:rsidRDefault="009627F2" w:rsidP="00072C3D">
      <w:pPr>
        <w:spacing w:before="0" w:after="0"/>
        <w:rPr>
          <w:rFonts w:eastAsia="Calibri" w:cs="Times New Roman"/>
          <w:sz w:val="22"/>
          <w:szCs w:val="22"/>
        </w:rPr>
      </w:pPr>
      <w:r w:rsidRPr="004F06F2">
        <w:rPr>
          <w:rFonts w:eastAsia="Calibri" w:cs="Times New Roman"/>
          <w:sz w:val="22"/>
          <w:szCs w:val="22"/>
        </w:rPr>
        <w:t>El Gobierno del Estado de Michoacán no cuenta con pasivos diferentes a los ya descritos</w:t>
      </w:r>
      <w:r w:rsidR="002552AE" w:rsidRPr="004F06F2">
        <w:rPr>
          <w:rFonts w:eastAsia="Calibri" w:cs="Times New Roman"/>
          <w:sz w:val="22"/>
          <w:szCs w:val="22"/>
        </w:rPr>
        <w:t>.</w:t>
      </w:r>
    </w:p>
    <w:p w14:paraId="6E97EAE6" w14:textId="77777777" w:rsidR="00805BCE" w:rsidRPr="004F06F2" w:rsidRDefault="00805BCE" w:rsidP="00072C3D">
      <w:pPr>
        <w:spacing w:before="0" w:after="0"/>
        <w:rPr>
          <w:color w:val="864A04" w:themeColor="accent2" w:themeShade="80"/>
        </w:rPr>
      </w:pPr>
    </w:p>
    <w:p w14:paraId="194B5BBD" w14:textId="2FA26828" w:rsidR="00B82D70" w:rsidRPr="004F06F2" w:rsidRDefault="00C33AB2" w:rsidP="00072C3D">
      <w:pPr>
        <w:spacing w:before="0" w:after="0"/>
        <w:jc w:val="left"/>
        <w:rPr>
          <w:rFonts w:eastAsia="Calibri" w:cs="Times New Roman"/>
          <w:b/>
          <w:szCs w:val="36"/>
        </w:rPr>
      </w:pPr>
      <w:r w:rsidRPr="004F06F2">
        <w:rPr>
          <w:rFonts w:eastAsia="Calibri" w:cs="Times New Roman"/>
          <w:b/>
          <w:szCs w:val="36"/>
        </w:rPr>
        <w:t xml:space="preserve">III). </w:t>
      </w:r>
      <w:r w:rsidR="00B82D70" w:rsidRPr="004F06F2">
        <w:rPr>
          <w:rFonts w:eastAsia="Calibri" w:cs="Times New Roman"/>
          <w:b/>
          <w:szCs w:val="36"/>
        </w:rPr>
        <w:t>NOTAS AL ESTADO DE VARIACIÓN DE LA HACIENDA PÚBLICA</w:t>
      </w:r>
    </w:p>
    <w:p w14:paraId="7B0B2F95" w14:textId="77777777" w:rsidR="00B82D70" w:rsidRPr="004F06F2" w:rsidRDefault="00B82D70" w:rsidP="00072C3D">
      <w:pPr>
        <w:widowControl w:val="0"/>
        <w:spacing w:before="0" w:after="0"/>
        <w:jc w:val="left"/>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HACIENDA PÚBLICA/PATRIMONIO</w:t>
      </w:r>
    </w:p>
    <w:p w14:paraId="772D63BB" w14:textId="77777777" w:rsidR="00B82D70" w:rsidRPr="004F06F2" w:rsidRDefault="00B82D70" w:rsidP="00072C3D">
      <w:pPr>
        <w:widowControl w:val="0"/>
        <w:kinsoku w:val="0"/>
        <w:spacing w:before="0" w:after="0"/>
        <w:contextualSpacing/>
        <w:rPr>
          <w:rFonts w:eastAsia="Times New Roman" w:cs="Times New Roman"/>
          <w:color w:val="000000"/>
          <w:sz w:val="22"/>
          <w:szCs w:val="22"/>
          <w:lang w:eastAsia="es-MX"/>
        </w:rPr>
      </w:pPr>
      <w:r w:rsidRPr="004F06F2">
        <w:rPr>
          <w:rFonts w:eastAsia="Times New Roman" w:cs="Times New Roman"/>
          <w:color w:val="000000"/>
          <w:sz w:val="22"/>
          <w:szCs w:val="22"/>
          <w:lang w:eastAsia="es-MX"/>
        </w:rPr>
        <w:t>Representa la diferencia entre el activo y el pasivo del ente público. Incluye el resultado de la gestión de ejercicios anteriores.</w:t>
      </w:r>
    </w:p>
    <w:p w14:paraId="5923B530" w14:textId="77777777" w:rsidR="00B63A0A" w:rsidRPr="004F06F2" w:rsidRDefault="00B63A0A" w:rsidP="00072C3D">
      <w:pPr>
        <w:widowControl w:val="0"/>
        <w:kinsoku w:val="0"/>
        <w:spacing w:before="0" w:after="0"/>
        <w:ind w:left="426"/>
        <w:contextualSpacing/>
        <w:rPr>
          <w:rFonts w:eastAsia="Calibri" w:cs="Times New Roman"/>
          <w:b/>
          <w:sz w:val="22"/>
          <w:szCs w:val="22"/>
        </w:rPr>
      </w:pPr>
    </w:p>
    <w:p w14:paraId="01FE74CF" w14:textId="77777777" w:rsidR="00B82D70" w:rsidRPr="004F06F2" w:rsidRDefault="00B82D70" w:rsidP="00072C3D">
      <w:pPr>
        <w:spacing w:before="0" w:after="0"/>
        <w:rPr>
          <w:rFonts w:eastAsia="Calibri" w:cs="Times New Roman"/>
          <w:b/>
          <w:sz w:val="22"/>
          <w:szCs w:val="22"/>
        </w:rPr>
      </w:pPr>
      <w:r w:rsidRPr="004F06F2">
        <w:rPr>
          <w:rFonts w:eastAsia="Calibri" w:cs="Times New Roman"/>
          <w:b/>
          <w:sz w:val="22"/>
          <w:szCs w:val="22"/>
        </w:rPr>
        <w:t xml:space="preserve">    1. Patrimonio Estatal/Patrimonio Contribuido</w:t>
      </w:r>
    </w:p>
    <w:p w14:paraId="504F6A18" w14:textId="77777777" w:rsidR="00B63A0A" w:rsidRPr="004F06F2" w:rsidRDefault="00B63A0A" w:rsidP="00072C3D">
      <w:pPr>
        <w:widowControl w:val="0"/>
        <w:kinsoku w:val="0"/>
        <w:spacing w:before="0" w:after="0"/>
        <w:ind w:left="709"/>
        <w:contextualSpacing/>
        <w:rPr>
          <w:rFonts w:eastAsia="Times New Roman" w:cs="Times New Roman"/>
          <w:color w:val="000000"/>
          <w:sz w:val="22"/>
          <w:szCs w:val="22"/>
          <w:lang w:eastAsia="es-MX"/>
        </w:rPr>
      </w:pPr>
    </w:p>
    <w:p w14:paraId="19D3E84B" w14:textId="49EAD08C" w:rsidR="00B82D70" w:rsidRPr="004F06F2" w:rsidRDefault="00B82D70" w:rsidP="00072C3D">
      <w:pPr>
        <w:widowControl w:val="0"/>
        <w:kinsoku w:val="0"/>
        <w:spacing w:before="0" w:after="0"/>
        <w:contextualSpacing/>
        <w:rPr>
          <w:rFonts w:eastAsia="Times New Roman" w:cs="Times New Roman"/>
          <w:color w:val="000000"/>
          <w:sz w:val="22"/>
          <w:szCs w:val="22"/>
          <w:lang w:eastAsia="es-MX"/>
        </w:rPr>
      </w:pPr>
      <w:r w:rsidRPr="004F06F2">
        <w:rPr>
          <w:rFonts w:eastAsia="Times New Roman" w:cs="Times New Roman"/>
          <w:color w:val="000000"/>
          <w:sz w:val="22"/>
          <w:szCs w:val="22"/>
          <w:lang w:eastAsia="es-MX"/>
        </w:rPr>
        <w:t xml:space="preserve">Representa las </w:t>
      </w:r>
      <w:r w:rsidRPr="004F06F2">
        <w:rPr>
          <w:rFonts w:eastAsia="Times New Roman" w:cs="Times New Roman"/>
          <w:sz w:val="22"/>
          <w:szCs w:val="22"/>
          <w:lang w:eastAsia="es-MX"/>
        </w:rPr>
        <w:t xml:space="preserve">aportaciones, con fines permanentes, del </w:t>
      </w:r>
      <w:r w:rsidRPr="004F06F2">
        <w:rPr>
          <w:rFonts w:eastAsia="Times New Roman" w:cs="Times New Roman"/>
          <w:color w:val="000000"/>
          <w:sz w:val="22"/>
          <w:szCs w:val="22"/>
          <w:lang w:eastAsia="es-MX"/>
        </w:rPr>
        <w:t>Gobierno del Estado que incrementan la Hacienda Pública/Patrimonio del mismo, así como los efectos identificables y cuantificables que le afecten de acuerdo con los lineamientos emitidos por el Consejo Nacional de Armonización Contable.</w:t>
      </w:r>
    </w:p>
    <w:p w14:paraId="71833679" w14:textId="77777777" w:rsidR="00B82D70" w:rsidRPr="004F06F2" w:rsidRDefault="00B82D70" w:rsidP="00072C3D">
      <w:pPr>
        <w:widowControl w:val="0"/>
        <w:kinsoku w:val="0"/>
        <w:spacing w:before="0" w:after="0"/>
        <w:ind w:left="709"/>
        <w:contextualSpacing/>
        <w:rPr>
          <w:rFonts w:eastAsia="Times New Roman" w:cs="Times New Roman"/>
          <w:color w:val="000000"/>
          <w:sz w:val="22"/>
          <w:szCs w:val="22"/>
          <w:lang w:eastAsia="es-MX"/>
        </w:rPr>
      </w:pPr>
    </w:p>
    <w:p w14:paraId="05675F03" w14:textId="287B1AC2" w:rsidR="00D573AB" w:rsidRPr="004F06F2" w:rsidRDefault="00B82D70" w:rsidP="00072C3D">
      <w:pPr>
        <w:widowControl w:val="0"/>
        <w:kinsoku w:val="0"/>
        <w:spacing w:before="0" w:after="0"/>
        <w:contextualSpacing/>
        <w:rPr>
          <w:rFonts w:eastAsia="Times New Roman" w:cs="Times New Roman"/>
          <w:color w:val="000000"/>
          <w:sz w:val="22"/>
          <w:szCs w:val="22"/>
          <w:lang w:eastAsia="es-MX"/>
        </w:rPr>
      </w:pPr>
      <w:r w:rsidRPr="004F06F2">
        <w:rPr>
          <w:rFonts w:eastAsia="Times New Roman" w:cs="Times New Roman"/>
          <w:color w:val="000000"/>
          <w:sz w:val="22"/>
          <w:szCs w:val="22"/>
          <w:lang w:eastAsia="es-MX"/>
        </w:rPr>
        <w:t xml:space="preserve">Al </w:t>
      </w:r>
      <w:r w:rsidR="00053575" w:rsidRPr="004F06F2">
        <w:rPr>
          <w:rFonts w:eastAsia="Times New Roman" w:cs="Times New Roman"/>
          <w:color w:val="000000"/>
          <w:sz w:val="22"/>
          <w:szCs w:val="22"/>
          <w:lang w:eastAsia="es-MX"/>
        </w:rPr>
        <w:t xml:space="preserve">31 de </w:t>
      </w:r>
      <w:r w:rsidR="00602469" w:rsidRPr="004F06F2">
        <w:rPr>
          <w:rFonts w:eastAsia="Times New Roman" w:cs="Times New Roman"/>
          <w:color w:val="000000"/>
          <w:sz w:val="22"/>
          <w:szCs w:val="22"/>
          <w:lang w:eastAsia="es-MX"/>
        </w:rPr>
        <w:t>marzo</w:t>
      </w:r>
      <w:r w:rsidR="0003700F" w:rsidRPr="004F06F2">
        <w:rPr>
          <w:rFonts w:eastAsia="Times New Roman" w:cs="Times New Roman"/>
          <w:color w:val="000000"/>
          <w:sz w:val="22"/>
          <w:szCs w:val="22"/>
          <w:lang w:eastAsia="es-MX"/>
        </w:rPr>
        <w:t xml:space="preserve"> </w:t>
      </w:r>
      <w:r w:rsidRPr="004F06F2">
        <w:rPr>
          <w:rFonts w:eastAsia="Times New Roman" w:cs="Times New Roman"/>
          <w:color w:val="000000"/>
          <w:sz w:val="22"/>
          <w:szCs w:val="22"/>
          <w:lang w:eastAsia="es-MX"/>
        </w:rPr>
        <w:t>de 202</w:t>
      </w:r>
      <w:r w:rsidR="00602469" w:rsidRPr="004F06F2">
        <w:rPr>
          <w:rFonts w:eastAsia="Times New Roman" w:cs="Times New Roman"/>
          <w:color w:val="000000"/>
          <w:sz w:val="22"/>
          <w:szCs w:val="22"/>
          <w:lang w:eastAsia="es-MX"/>
        </w:rPr>
        <w:t>4</w:t>
      </w:r>
      <w:r w:rsidRPr="004F06F2">
        <w:rPr>
          <w:rFonts w:eastAsia="Times New Roman" w:cs="Times New Roman"/>
          <w:color w:val="000000"/>
          <w:sz w:val="22"/>
          <w:szCs w:val="22"/>
          <w:lang w:eastAsia="es-MX"/>
        </w:rPr>
        <w:t xml:space="preserve">, </w:t>
      </w:r>
      <w:r w:rsidR="003E1634" w:rsidRPr="004F06F2">
        <w:rPr>
          <w:rFonts w:eastAsia="Times New Roman" w:cs="Times New Roman"/>
          <w:color w:val="000000"/>
          <w:sz w:val="22"/>
          <w:szCs w:val="22"/>
          <w:lang w:eastAsia="es-MX"/>
        </w:rPr>
        <w:t xml:space="preserve">el total de la Hacienda Pública/Patrimonio Contribuido </w:t>
      </w:r>
      <w:r w:rsidRPr="004F06F2">
        <w:rPr>
          <w:rFonts w:eastAsia="Times New Roman" w:cs="Times New Roman"/>
          <w:color w:val="000000"/>
          <w:sz w:val="22"/>
          <w:szCs w:val="22"/>
          <w:lang w:eastAsia="es-MX"/>
        </w:rPr>
        <w:t xml:space="preserve">presenta un saldo de </w:t>
      </w:r>
      <w:r w:rsidR="003E1634" w:rsidRPr="004F06F2">
        <w:rPr>
          <w:rFonts w:eastAsia="Times New Roman" w:cs="Times New Roman"/>
          <w:color w:val="000000"/>
          <w:sz w:val="22"/>
          <w:szCs w:val="22"/>
          <w:lang w:eastAsia="es-MX"/>
        </w:rPr>
        <w:t>39</w:t>
      </w:r>
      <w:r w:rsidRPr="004F06F2">
        <w:rPr>
          <w:rFonts w:eastAsia="Times New Roman" w:cs="Times New Roman"/>
          <w:color w:val="000000"/>
          <w:sz w:val="22"/>
          <w:szCs w:val="22"/>
          <w:lang w:eastAsia="es-MX"/>
        </w:rPr>
        <w:t xml:space="preserve"> mil</w:t>
      </w:r>
      <w:r w:rsidR="006D7C47" w:rsidRPr="004F06F2">
        <w:rPr>
          <w:rFonts w:eastAsia="Times New Roman" w:cs="Times New Roman"/>
          <w:color w:val="000000"/>
          <w:sz w:val="22"/>
          <w:szCs w:val="22"/>
          <w:lang w:eastAsia="es-MX"/>
        </w:rPr>
        <w:t xml:space="preserve"> </w:t>
      </w:r>
      <w:r w:rsidR="00D573AB" w:rsidRPr="004F06F2">
        <w:rPr>
          <w:rFonts w:eastAsia="Times New Roman" w:cs="Times New Roman"/>
          <w:color w:val="000000"/>
          <w:sz w:val="22"/>
          <w:szCs w:val="22"/>
          <w:lang w:eastAsia="es-MX"/>
        </w:rPr>
        <w:t>34</w:t>
      </w:r>
      <w:r w:rsidRPr="004F06F2">
        <w:rPr>
          <w:rFonts w:eastAsia="Times New Roman" w:cs="Times New Roman"/>
          <w:color w:val="000000"/>
          <w:sz w:val="22"/>
          <w:szCs w:val="22"/>
          <w:lang w:eastAsia="es-MX"/>
        </w:rPr>
        <w:t xml:space="preserve"> millones</w:t>
      </w:r>
      <w:r w:rsidR="00ED69BA" w:rsidRPr="004F06F2">
        <w:rPr>
          <w:rFonts w:eastAsia="Times New Roman" w:cs="Times New Roman"/>
          <w:color w:val="000000"/>
          <w:sz w:val="22"/>
          <w:szCs w:val="22"/>
          <w:lang w:eastAsia="es-MX"/>
        </w:rPr>
        <w:t xml:space="preserve"> </w:t>
      </w:r>
      <w:r w:rsidR="00D573AB" w:rsidRPr="004F06F2">
        <w:rPr>
          <w:rFonts w:eastAsia="Times New Roman" w:cs="Times New Roman"/>
          <w:color w:val="000000"/>
          <w:sz w:val="22"/>
          <w:szCs w:val="22"/>
          <w:lang w:eastAsia="es-MX"/>
        </w:rPr>
        <w:t>834</w:t>
      </w:r>
      <w:r w:rsidRPr="004F06F2">
        <w:rPr>
          <w:rFonts w:eastAsia="Times New Roman" w:cs="Times New Roman"/>
          <w:color w:val="000000"/>
          <w:sz w:val="22"/>
          <w:szCs w:val="22"/>
          <w:lang w:eastAsia="es-MX"/>
        </w:rPr>
        <w:t xml:space="preserve"> </w:t>
      </w:r>
      <w:r w:rsidR="0003700F" w:rsidRPr="004F06F2">
        <w:rPr>
          <w:rFonts w:eastAsia="Times New Roman" w:cs="Times New Roman"/>
          <w:color w:val="000000"/>
          <w:sz w:val="22"/>
          <w:szCs w:val="22"/>
          <w:lang w:eastAsia="es-MX"/>
        </w:rPr>
        <w:t xml:space="preserve">mil </w:t>
      </w:r>
      <w:r w:rsidR="003E1634" w:rsidRPr="004F06F2">
        <w:rPr>
          <w:rFonts w:eastAsia="Times New Roman" w:cs="Times New Roman"/>
          <w:color w:val="000000"/>
          <w:sz w:val="22"/>
          <w:szCs w:val="22"/>
          <w:lang w:eastAsia="es-MX"/>
        </w:rPr>
        <w:t>7</w:t>
      </w:r>
      <w:r w:rsidR="00D573AB" w:rsidRPr="004F06F2">
        <w:rPr>
          <w:rFonts w:eastAsia="Times New Roman" w:cs="Times New Roman"/>
          <w:color w:val="000000"/>
          <w:sz w:val="22"/>
          <w:szCs w:val="22"/>
          <w:lang w:eastAsia="es-MX"/>
        </w:rPr>
        <w:t>68</w:t>
      </w:r>
      <w:r w:rsidRPr="004F06F2">
        <w:rPr>
          <w:rFonts w:eastAsia="Times New Roman" w:cs="Times New Roman"/>
          <w:color w:val="000000"/>
          <w:sz w:val="22"/>
          <w:szCs w:val="22"/>
          <w:lang w:eastAsia="es-MX"/>
        </w:rPr>
        <w:t xml:space="preserve"> pesos</w:t>
      </w:r>
      <w:r w:rsidR="005E0451" w:rsidRPr="004F06F2">
        <w:rPr>
          <w:rFonts w:eastAsia="Times New Roman" w:cs="Times New Roman"/>
          <w:color w:val="000000"/>
          <w:sz w:val="22"/>
          <w:szCs w:val="22"/>
          <w:lang w:eastAsia="es-MX"/>
        </w:rPr>
        <w:t xml:space="preserve">, </w:t>
      </w:r>
      <w:r w:rsidR="00656C01" w:rsidRPr="004F06F2">
        <w:rPr>
          <w:rFonts w:eastAsia="Times New Roman" w:cs="Times New Roman"/>
          <w:color w:val="000000"/>
          <w:sz w:val="22"/>
          <w:szCs w:val="22"/>
          <w:lang w:eastAsia="es-MX"/>
        </w:rPr>
        <w:t>el cual se integra de los siguientes rubros:</w:t>
      </w:r>
    </w:p>
    <w:p w14:paraId="402525B3" w14:textId="72CC361F" w:rsidR="003440B7" w:rsidRPr="004F06F2" w:rsidRDefault="00D573AB" w:rsidP="00072C3D">
      <w:pPr>
        <w:widowControl w:val="0"/>
        <w:kinsoku w:val="0"/>
        <w:spacing w:before="0" w:after="0"/>
        <w:contextualSpacing/>
        <w:rPr>
          <w:rFonts w:eastAsia="Times New Roman" w:cs="Times New Roman"/>
          <w:color w:val="000000"/>
          <w:sz w:val="22"/>
          <w:szCs w:val="22"/>
          <w:lang w:eastAsia="es-MX"/>
        </w:rPr>
      </w:pPr>
      <w:r w:rsidRPr="004F06F2">
        <w:rPr>
          <w:noProof/>
          <w:lang w:val="es-MX" w:eastAsia="es-MX"/>
        </w:rPr>
        <w:drawing>
          <wp:inline distT="0" distB="0" distL="0" distR="0" wp14:anchorId="0B1103FC" wp14:editId="5EE07D25">
            <wp:extent cx="6351270" cy="582433"/>
            <wp:effectExtent l="0" t="0" r="0"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51270" cy="582433"/>
                    </a:xfrm>
                    <a:prstGeom prst="rect">
                      <a:avLst/>
                    </a:prstGeom>
                    <a:noFill/>
                    <a:ln>
                      <a:noFill/>
                    </a:ln>
                  </pic:spPr>
                </pic:pic>
              </a:graphicData>
            </a:graphic>
          </wp:inline>
        </w:drawing>
      </w:r>
    </w:p>
    <w:p w14:paraId="6C241446" w14:textId="77777777" w:rsidR="003440B7" w:rsidRPr="004F06F2" w:rsidRDefault="003440B7" w:rsidP="00D11E73">
      <w:pPr>
        <w:spacing w:before="0" w:after="0"/>
        <w:rPr>
          <w:rFonts w:eastAsia="Calibri" w:cs="Times New Roman"/>
          <w:sz w:val="22"/>
          <w:szCs w:val="22"/>
        </w:rPr>
      </w:pPr>
    </w:p>
    <w:p w14:paraId="52701391" w14:textId="6DD4F37C" w:rsidR="00B82D70" w:rsidRPr="004F06F2" w:rsidRDefault="00B82D70" w:rsidP="00D11E73">
      <w:pPr>
        <w:spacing w:before="0" w:after="0"/>
        <w:rPr>
          <w:rFonts w:eastAsia="Calibri" w:cs="Times New Roman"/>
          <w:sz w:val="22"/>
          <w:szCs w:val="22"/>
        </w:rPr>
      </w:pPr>
      <w:r w:rsidRPr="004F06F2">
        <w:rPr>
          <w:rFonts w:eastAsia="Calibri" w:cs="Times New Roman"/>
          <w:sz w:val="22"/>
          <w:szCs w:val="22"/>
        </w:rPr>
        <w:t xml:space="preserve">Dentro del rubro de Patrimonio Estatal/Patrimonio </w:t>
      </w:r>
      <w:r w:rsidR="00D11E73" w:rsidRPr="004F06F2">
        <w:rPr>
          <w:rFonts w:eastAsia="Calibri" w:cs="Times New Roman"/>
          <w:sz w:val="22"/>
          <w:szCs w:val="22"/>
        </w:rPr>
        <w:t>C</w:t>
      </w:r>
      <w:r w:rsidRPr="004F06F2">
        <w:rPr>
          <w:rFonts w:eastAsia="Calibri" w:cs="Times New Roman"/>
          <w:sz w:val="22"/>
          <w:szCs w:val="22"/>
        </w:rPr>
        <w:t xml:space="preserve">ontribuido, se destaca </w:t>
      </w:r>
      <w:r w:rsidR="00570A02" w:rsidRPr="004F06F2">
        <w:rPr>
          <w:rFonts w:eastAsia="Calibri" w:cs="Times New Roman"/>
          <w:sz w:val="22"/>
          <w:szCs w:val="22"/>
        </w:rPr>
        <w:t>l</w:t>
      </w:r>
      <w:r w:rsidRPr="004F06F2">
        <w:rPr>
          <w:rFonts w:eastAsia="Calibri" w:cs="Times New Roman"/>
          <w:sz w:val="22"/>
          <w:szCs w:val="22"/>
        </w:rPr>
        <w:t xml:space="preserve">a actualización realizada de la participación del Poder Ejecutivo en el Patrimonio de las Entidades Paraestatales, </w:t>
      </w:r>
      <w:r w:rsidR="00570A02" w:rsidRPr="004F06F2">
        <w:rPr>
          <w:rFonts w:eastAsia="Calibri" w:cs="Times New Roman"/>
          <w:sz w:val="22"/>
          <w:szCs w:val="22"/>
        </w:rPr>
        <w:t xml:space="preserve">el cual </w:t>
      </w:r>
      <w:r w:rsidRPr="004F06F2">
        <w:rPr>
          <w:rFonts w:eastAsia="Calibri" w:cs="Times New Roman"/>
          <w:sz w:val="22"/>
          <w:szCs w:val="22"/>
        </w:rPr>
        <w:t xml:space="preserve">se detalla en el punto </w:t>
      </w:r>
      <w:r w:rsidR="00CC7C0A" w:rsidRPr="004F06F2">
        <w:rPr>
          <w:rFonts w:eastAsia="Calibri" w:cs="Times New Roman"/>
          <w:sz w:val="22"/>
          <w:szCs w:val="22"/>
        </w:rPr>
        <w:t>5</w:t>
      </w:r>
      <w:r w:rsidRPr="004F06F2">
        <w:rPr>
          <w:rFonts w:eastAsia="Calibri" w:cs="Times New Roman"/>
          <w:sz w:val="22"/>
          <w:szCs w:val="22"/>
        </w:rPr>
        <w:t xml:space="preserve"> de las notas de desglose. </w:t>
      </w:r>
      <w:r w:rsidR="00B63A0A" w:rsidRPr="004F06F2">
        <w:rPr>
          <w:rFonts w:eastAsia="Calibri" w:cs="Times New Roman"/>
          <w:sz w:val="22"/>
          <w:szCs w:val="22"/>
        </w:rPr>
        <w:t>Dicha actua</w:t>
      </w:r>
      <w:r w:rsidR="00D914F6" w:rsidRPr="004F06F2">
        <w:rPr>
          <w:rFonts w:eastAsia="Calibri" w:cs="Times New Roman"/>
          <w:sz w:val="22"/>
          <w:szCs w:val="22"/>
        </w:rPr>
        <w:t>lización forma parte de</w:t>
      </w:r>
      <w:r w:rsidR="00D11E73" w:rsidRPr="004F06F2">
        <w:rPr>
          <w:rFonts w:eastAsia="Calibri" w:cs="Times New Roman"/>
          <w:sz w:val="22"/>
          <w:szCs w:val="22"/>
        </w:rPr>
        <w:t xml:space="preserve">l aumento </w:t>
      </w:r>
      <w:r w:rsidR="00B63A0A" w:rsidRPr="004F06F2">
        <w:rPr>
          <w:rFonts w:eastAsia="Calibri" w:cs="Times New Roman"/>
          <w:sz w:val="22"/>
          <w:szCs w:val="22"/>
        </w:rPr>
        <w:t>del Patrimonio contribuido.</w:t>
      </w:r>
    </w:p>
    <w:p w14:paraId="49F5EB82" w14:textId="77777777" w:rsidR="00072C3D" w:rsidRPr="004F06F2" w:rsidRDefault="00072C3D" w:rsidP="00D11E73">
      <w:pPr>
        <w:spacing w:before="0" w:after="0"/>
        <w:rPr>
          <w:rFonts w:eastAsia="Calibri" w:cs="Times New Roman"/>
          <w:b/>
          <w:sz w:val="22"/>
          <w:szCs w:val="22"/>
        </w:rPr>
      </w:pPr>
    </w:p>
    <w:p w14:paraId="3C275A37" w14:textId="4BD8CE08" w:rsidR="00B82D70" w:rsidRPr="004F06F2" w:rsidRDefault="00B82D70" w:rsidP="00D11E73">
      <w:pPr>
        <w:spacing w:before="0" w:after="0"/>
        <w:rPr>
          <w:rFonts w:eastAsia="Calibri" w:cs="Times New Roman"/>
          <w:b/>
          <w:sz w:val="22"/>
          <w:szCs w:val="22"/>
        </w:rPr>
      </w:pPr>
      <w:r w:rsidRPr="004F06F2">
        <w:rPr>
          <w:rFonts w:eastAsia="Calibri" w:cs="Times New Roman"/>
          <w:b/>
          <w:sz w:val="22"/>
          <w:szCs w:val="22"/>
        </w:rPr>
        <w:t>2. Patrimonio Estatal/Patrimonio Generado</w:t>
      </w:r>
    </w:p>
    <w:p w14:paraId="6813D747" w14:textId="51F3458D" w:rsidR="00C0303A" w:rsidRPr="004F06F2" w:rsidRDefault="00B82D70" w:rsidP="00D11E73">
      <w:pPr>
        <w:widowControl w:val="0"/>
        <w:kinsoku w:val="0"/>
        <w:spacing w:before="0" w:after="0"/>
        <w:contextualSpacing/>
        <w:rPr>
          <w:rFonts w:eastAsia="Calibri" w:cs="Times New Roman"/>
          <w:color w:val="000000"/>
          <w:sz w:val="22"/>
          <w:szCs w:val="22"/>
        </w:rPr>
      </w:pPr>
      <w:r w:rsidRPr="004F06F2">
        <w:rPr>
          <w:rFonts w:eastAsia="Calibri" w:cs="Times New Roman"/>
          <w:color w:val="000000"/>
          <w:sz w:val="22"/>
          <w:szCs w:val="22"/>
        </w:rPr>
        <w:t>Representa la acumulación de resultados de la gestión de ejercicios anteriores, incluyendo las aplicadas a reservas, resultados del ejercicio en operación y los eventos identificables y cuantificables</w:t>
      </w:r>
      <w:r w:rsidR="000F24EE" w:rsidRPr="004F06F2">
        <w:rPr>
          <w:rFonts w:eastAsia="Calibri" w:cs="Times New Roman"/>
          <w:color w:val="000000"/>
          <w:sz w:val="22"/>
          <w:szCs w:val="22"/>
        </w:rPr>
        <w:t xml:space="preserve"> de ejercicios anteriores</w:t>
      </w:r>
      <w:r w:rsidRPr="004F06F2">
        <w:rPr>
          <w:rFonts w:eastAsia="Calibri" w:cs="Times New Roman"/>
          <w:color w:val="000000"/>
          <w:sz w:val="22"/>
          <w:szCs w:val="22"/>
        </w:rPr>
        <w:t xml:space="preserve"> que le afectan de acuerdo con los lineamientos emitidos por el Consejo Nacional de Armonización Contable.</w:t>
      </w:r>
    </w:p>
    <w:p w14:paraId="60D2D193" w14:textId="53F33130" w:rsidR="009A10B9" w:rsidRPr="004F06F2" w:rsidRDefault="00A87299" w:rsidP="00D11E73">
      <w:pPr>
        <w:widowControl w:val="0"/>
        <w:kinsoku w:val="0"/>
        <w:spacing w:before="0" w:after="0"/>
        <w:contextualSpacing/>
        <w:rPr>
          <w:rFonts w:eastAsia="Calibri" w:cs="Times New Roman"/>
          <w:color w:val="000000"/>
          <w:sz w:val="22"/>
          <w:szCs w:val="22"/>
        </w:rPr>
      </w:pPr>
      <w:r w:rsidRPr="004F06F2">
        <w:rPr>
          <w:noProof/>
          <w:lang w:val="es-MX" w:eastAsia="es-MX"/>
        </w:rPr>
        <w:drawing>
          <wp:inline distT="0" distB="0" distL="0" distR="0" wp14:anchorId="31176D66" wp14:editId="1C0BE368">
            <wp:extent cx="6351270" cy="683950"/>
            <wp:effectExtent l="0" t="0" r="0" b="1905"/>
            <wp:docPr id="993237351" name="Imagen 993237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51270" cy="683950"/>
                    </a:xfrm>
                    <a:prstGeom prst="rect">
                      <a:avLst/>
                    </a:prstGeom>
                    <a:noFill/>
                    <a:ln>
                      <a:noFill/>
                    </a:ln>
                  </pic:spPr>
                </pic:pic>
              </a:graphicData>
            </a:graphic>
          </wp:inline>
        </w:drawing>
      </w:r>
    </w:p>
    <w:p w14:paraId="38F10E24" w14:textId="051CFCBE" w:rsidR="00B82D70" w:rsidRPr="004F06F2" w:rsidRDefault="00B82D70" w:rsidP="00D11E73">
      <w:pPr>
        <w:widowControl w:val="0"/>
        <w:kinsoku w:val="0"/>
        <w:spacing w:before="0" w:after="0"/>
        <w:contextualSpacing/>
        <w:rPr>
          <w:rFonts w:eastAsia="Calibri" w:cs="Times New Roman"/>
          <w:color w:val="000000"/>
          <w:sz w:val="22"/>
          <w:szCs w:val="22"/>
        </w:rPr>
      </w:pPr>
    </w:p>
    <w:p w14:paraId="12B83AD8" w14:textId="66946994" w:rsidR="00B82D70" w:rsidRPr="004F06F2" w:rsidRDefault="00B82D70" w:rsidP="00072C3D">
      <w:pPr>
        <w:spacing w:before="0" w:after="0"/>
        <w:rPr>
          <w:rFonts w:ascii="Arial" w:hAnsi="Arial" w:cs="Arial"/>
          <w:b/>
          <w:color w:val="000000"/>
          <w:sz w:val="22"/>
          <w:szCs w:val="22"/>
        </w:rPr>
      </w:pPr>
      <w:r w:rsidRPr="004F06F2">
        <w:rPr>
          <w:rFonts w:eastAsia="Calibri" w:cs="Times New Roman"/>
          <w:b/>
          <w:sz w:val="22"/>
          <w:szCs w:val="22"/>
        </w:rPr>
        <w:t>Resultado del Ejercicio</w:t>
      </w:r>
      <w:r w:rsidRPr="004F06F2">
        <w:rPr>
          <w:rFonts w:ascii="Arial" w:hAnsi="Arial" w:cs="Arial"/>
          <w:b/>
          <w:color w:val="000000"/>
          <w:sz w:val="22"/>
          <w:szCs w:val="22"/>
        </w:rPr>
        <w:t xml:space="preserve"> </w:t>
      </w:r>
    </w:p>
    <w:p w14:paraId="5FC13054" w14:textId="77777777" w:rsidR="00187B10" w:rsidRPr="004F06F2" w:rsidRDefault="00187B10" w:rsidP="00072C3D">
      <w:pPr>
        <w:widowControl w:val="0"/>
        <w:kinsoku w:val="0"/>
        <w:spacing w:before="0" w:after="0"/>
        <w:contextualSpacing/>
        <w:rPr>
          <w:rFonts w:eastAsia="Times New Roman" w:cs="Times New Roman"/>
          <w:color w:val="000000"/>
          <w:sz w:val="22"/>
          <w:szCs w:val="22"/>
          <w:lang w:eastAsia="es-MX"/>
        </w:rPr>
      </w:pPr>
    </w:p>
    <w:p w14:paraId="29DDC670" w14:textId="3E411CF4" w:rsidR="00B82D70" w:rsidRPr="004F06F2" w:rsidRDefault="00B82D70" w:rsidP="00072C3D">
      <w:pPr>
        <w:widowControl w:val="0"/>
        <w:kinsoku w:val="0"/>
        <w:spacing w:before="0" w:after="0"/>
        <w:contextualSpacing/>
        <w:rPr>
          <w:rFonts w:eastAsia="Calibri" w:cs="Times New Roman"/>
          <w:b/>
          <w:sz w:val="22"/>
          <w:szCs w:val="22"/>
        </w:rPr>
      </w:pPr>
      <w:r w:rsidRPr="004F06F2">
        <w:rPr>
          <w:rFonts w:eastAsia="Times New Roman" w:cs="Times New Roman"/>
          <w:color w:val="000000"/>
          <w:sz w:val="22"/>
          <w:szCs w:val="22"/>
          <w:lang w:eastAsia="es-MX"/>
        </w:rPr>
        <w:t xml:space="preserve">El monto de </w:t>
      </w:r>
      <w:r w:rsidR="00F75509" w:rsidRPr="004F06F2">
        <w:rPr>
          <w:rFonts w:eastAsia="Times New Roman" w:cs="Times New Roman"/>
          <w:color w:val="000000"/>
          <w:sz w:val="22"/>
          <w:szCs w:val="22"/>
          <w:lang w:eastAsia="es-MX"/>
        </w:rPr>
        <w:t>5</w:t>
      </w:r>
      <w:r w:rsidR="00570A02" w:rsidRPr="004F06F2">
        <w:rPr>
          <w:rFonts w:eastAsia="Calibri" w:cs="Times New Roman"/>
          <w:color w:val="000000"/>
          <w:sz w:val="22"/>
          <w:szCs w:val="22"/>
        </w:rPr>
        <w:t xml:space="preserve"> mil </w:t>
      </w:r>
      <w:r w:rsidR="00F75509" w:rsidRPr="004F06F2">
        <w:rPr>
          <w:rFonts w:eastAsia="Calibri" w:cs="Times New Roman"/>
          <w:color w:val="000000"/>
          <w:sz w:val="22"/>
          <w:szCs w:val="22"/>
        </w:rPr>
        <w:t>941</w:t>
      </w:r>
      <w:r w:rsidR="00401D23" w:rsidRPr="004F06F2">
        <w:rPr>
          <w:rFonts w:eastAsia="Calibri" w:cs="Times New Roman"/>
          <w:color w:val="000000"/>
          <w:sz w:val="22"/>
          <w:szCs w:val="22"/>
        </w:rPr>
        <w:t xml:space="preserve"> </w:t>
      </w:r>
      <w:r w:rsidR="00570A02" w:rsidRPr="004F06F2">
        <w:rPr>
          <w:rFonts w:eastAsia="Calibri" w:cs="Times New Roman"/>
          <w:color w:val="000000"/>
          <w:sz w:val="22"/>
          <w:szCs w:val="22"/>
        </w:rPr>
        <w:t xml:space="preserve">millones </w:t>
      </w:r>
      <w:r w:rsidR="00D11E73" w:rsidRPr="004F06F2">
        <w:rPr>
          <w:rFonts w:eastAsia="Calibri" w:cs="Times New Roman"/>
          <w:color w:val="000000"/>
          <w:sz w:val="22"/>
          <w:szCs w:val="22"/>
        </w:rPr>
        <w:t>5</w:t>
      </w:r>
      <w:r w:rsidR="00F75509" w:rsidRPr="004F06F2">
        <w:rPr>
          <w:rFonts w:eastAsia="Calibri" w:cs="Times New Roman"/>
          <w:color w:val="000000"/>
          <w:sz w:val="22"/>
          <w:szCs w:val="22"/>
        </w:rPr>
        <w:t>63</w:t>
      </w:r>
      <w:r w:rsidR="00570A02" w:rsidRPr="004F06F2">
        <w:rPr>
          <w:rFonts w:eastAsia="Calibri" w:cs="Times New Roman"/>
          <w:color w:val="000000"/>
          <w:sz w:val="22"/>
          <w:szCs w:val="22"/>
        </w:rPr>
        <w:t xml:space="preserve"> mil </w:t>
      </w:r>
      <w:r w:rsidR="00F75509" w:rsidRPr="004F06F2">
        <w:rPr>
          <w:rFonts w:eastAsia="Calibri" w:cs="Times New Roman"/>
          <w:color w:val="000000"/>
          <w:sz w:val="22"/>
          <w:szCs w:val="22"/>
        </w:rPr>
        <w:t>822</w:t>
      </w:r>
      <w:r w:rsidR="00570A02" w:rsidRPr="004F06F2">
        <w:rPr>
          <w:rFonts w:eastAsia="Calibri" w:cs="Times New Roman"/>
          <w:color w:val="000000"/>
          <w:sz w:val="22"/>
          <w:szCs w:val="22"/>
        </w:rPr>
        <w:t xml:space="preserve"> pesos</w:t>
      </w:r>
      <w:r w:rsidRPr="004F06F2">
        <w:rPr>
          <w:rFonts w:eastAsia="Times New Roman" w:cs="Times New Roman"/>
          <w:color w:val="000000"/>
          <w:sz w:val="22"/>
          <w:szCs w:val="22"/>
          <w:lang w:eastAsia="es-MX"/>
        </w:rPr>
        <w:t>, representa un ahorro del ejercicio, anteriormente denominado superávit, por la diferencia resultante entre el total de los ingresos (mismos que incluyen los Recursos Federales) y el total de los gastos devengados al cierre del mismo.</w:t>
      </w:r>
    </w:p>
    <w:p w14:paraId="3C1275A1" w14:textId="77777777" w:rsidR="00B82D70" w:rsidRPr="004F06F2" w:rsidRDefault="00B82D70" w:rsidP="00072C3D">
      <w:pPr>
        <w:spacing w:before="0" w:after="0"/>
        <w:rPr>
          <w:rFonts w:eastAsia="Calibri" w:cs="Times New Roman"/>
          <w:b/>
          <w:sz w:val="22"/>
          <w:szCs w:val="22"/>
        </w:rPr>
      </w:pPr>
    </w:p>
    <w:p w14:paraId="2B376B25" w14:textId="77777777" w:rsidR="00B82D70" w:rsidRPr="004F06F2" w:rsidRDefault="00B82D70" w:rsidP="00072C3D">
      <w:pPr>
        <w:spacing w:before="0" w:after="0"/>
        <w:rPr>
          <w:rFonts w:ascii="Arial" w:hAnsi="Arial" w:cs="Arial"/>
          <w:b/>
          <w:color w:val="000000"/>
          <w:sz w:val="22"/>
          <w:szCs w:val="22"/>
        </w:rPr>
      </w:pPr>
      <w:r w:rsidRPr="004F06F2">
        <w:rPr>
          <w:rFonts w:eastAsia="Calibri" w:cs="Times New Roman"/>
          <w:b/>
          <w:sz w:val="22"/>
          <w:szCs w:val="22"/>
        </w:rPr>
        <w:t>Resultado de Ejercicios Anteriores</w:t>
      </w:r>
      <w:r w:rsidRPr="004F06F2">
        <w:rPr>
          <w:rFonts w:ascii="Arial" w:hAnsi="Arial" w:cs="Arial"/>
          <w:b/>
          <w:color w:val="000000"/>
          <w:sz w:val="22"/>
          <w:szCs w:val="22"/>
        </w:rPr>
        <w:t xml:space="preserve"> </w:t>
      </w:r>
    </w:p>
    <w:p w14:paraId="743363B1" w14:textId="77777777" w:rsidR="00187B10" w:rsidRPr="004F06F2" w:rsidRDefault="00187B10" w:rsidP="00072C3D">
      <w:pPr>
        <w:spacing w:before="0" w:after="0"/>
        <w:rPr>
          <w:rFonts w:eastAsia="Times New Roman" w:cs="Times New Roman"/>
          <w:color w:val="000000"/>
          <w:sz w:val="22"/>
          <w:szCs w:val="22"/>
          <w:lang w:eastAsia="es-MX"/>
        </w:rPr>
      </w:pPr>
    </w:p>
    <w:p w14:paraId="56B40D71" w14:textId="33AF3C25" w:rsidR="00B82D70" w:rsidRPr="004F06F2" w:rsidRDefault="00B82D70" w:rsidP="00072C3D">
      <w:pPr>
        <w:spacing w:before="0" w:after="0"/>
        <w:rPr>
          <w:rFonts w:eastAsia="Times New Roman" w:cs="Times New Roman"/>
          <w:color w:val="000000"/>
          <w:sz w:val="22"/>
          <w:szCs w:val="22"/>
          <w:lang w:eastAsia="es-MX"/>
        </w:rPr>
      </w:pPr>
      <w:r w:rsidRPr="004F06F2">
        <w:rPr>
          <w:rFonts w:eastAsia="Times New Roman" w:cs="Times New Roman"/>
          <w:color w:val="000000"/>
          <w:sz w:val="22"/>
          <w:szCs w:val="22"/>
          <w:lang w:eastAsia="es-MX"/>
        </w:rPr>
        <w:t xml:space="preserve">Representa el saldo acumulado de los resultados obtenidos de ejercicios anteriores, el cual refleja un ahorro (superávit) de </w:t>
      </w:r>
      <w:r w:rsidR="00D11E73" w:rsidRPr="004F06F2">
        <w:rPr>
          <w:rFonts w:eastAsia="Times New Roman" w:cs="Times New Roman"/>
          <w:color w:val="000000"/>
          <w:sz w:val="22"/>
          <w:szCs w:val="22"/>
          <w:lang w:eastAsia="es-MX"/>
        </w:rPr>
        <w:t>1</w:t>
      </w:r>
      <w:r w:rsidR="00F75509" w:rsidRPr="004F06F2">
        <w:rPr>
          <w:rFonts w:eastAsia="Times New Roman" w:cs="Times New Roman"/>
          <w:color w:val="000000"/>
          <w:sz w:val="22"/>
          <w:szCs w:val="22"/>
          <w:lang w:eastAsia="es-MX"/>
        </w:rPr>
        <w:t>5</w:t>
      </w:r>
      <w:r w:rsidRPr="004F06F2">
        <w:rPr>
          <w:rFonts w:eastAsia="Times New Roman" w:cs="Times New Roman"/>
          <w:color w:val="000000"/>
          <w:sz w:val="22"/>
          <w:szCs w:val="22"/>
          <w:lang w:eastAsia="es-MX"/>
        </w:rPr>
        <w:t xml:space="preserve"> mil </w:t>
      </w:r>
      <w:r w:rsidR="00D11E73" w:rsidRPr="004F06F2">
        <w:rPr>
          <w:rFonts w:eastAsia="Times New Roman" w:cs="Times New Roman"/>
          <w:color w:val="000000"/>
          <w:sz w:val="22"/>
          <w:szCs w:val="22"/>
          <w:lang w:eastAsia="es-MX"/>
        </w:rPr>
        <w:t>7</w:t>
      </w:r>
      <w:r w:rsidR="00F75509" w:rsidRPr="004F06F2">
        <w:rPr>
          <w:rFonts w:eastAsia="Times New Roman" w:cs="Times New Roman"/>
          <w:color w:val="000000"/>
          <w:sz w:val="22"/>
          <w:szCs w:val="22"/>
          <w:lang w:eastAsia="es-MX"/>
        </w:rPr>
        <w:t>65</w:t>
      </w:r>
      <w:r w:rsidR="00D11E73" w:rsidRPr="004F06F2">
        <w:rPr>
          <w:rFonts w:eastAsia="Times New Roman" w:cs="Times New Roman"/>
          <w:color w:val="000000"/>
          <w:sz w:val="22"/>
          <w:szCs w:val="22"/>
          <w:lang w:eastAsia="es-MX"/>
        </w:rPr>
        <w:t xml:space="preserve"> mi</w:t>
      </w:r>
      <w:r w:rsidRPr="004F06F2">
        <w:rPr>
          <w:rFonts w:eastAsia="Times New Roman" w:cs="Times New Roman"/>
          <w:color w:val="000000"/>
          <w:sz w:val="22"/>
          <w:szCs w:val="22"/>
          <w:lang w:eastAsia="es-MX"/>
        </w:rPr>
        <w:t xml:space="preserve">llones </w:t>
      </w:r>
      <w:r w:rsidR="00F75509" w:rsidRPr="004F06F2">
        <w:rPr>
          <w:rFonts w:eastAsia="Times New Roman" w:cs="Times New Roman"/>
          <w:color w:val="000000"/>
          <w:sz w:val="22"/>
          <w:szCs w:val="22"/>
          <w:lang w:eastAsia="es-MX"/>
        </w:rPr>
        <w:t>567</w:t>
      </w:r>
      <w:r w:rsidRPr="004F06F2">
        <w:rPr>
          <w:rFonts w:eastAsia="Times New Roman" w:cs="Times New Roman"/>
          <w:color w:val="000000"/>
          <w:sz w:val="22"/>
          <w:szCs w:val="22"/>
          <w:lang w:eastAsia="es-MX"/>
        </w:rPr>
        <w:t xml:space="preserve"> mil </w:t>
      </w:r>
      <w:r w:rsidR="00D11E73" w:rsidRPr="004F06F2">
        <w:rPr>
          <w:rFonts w:eastAsia="Times New Roman" w:cs="Times New Roman"/>
          <w:color w:val="000000"/>
          <w:sz w:val="22"/>
          <w:szCs w:val="22"/>
          <w:lang w:eastAsia="es-MX"/>
        </w:rPr>
        <w:t>6</w:t>
      </w:r>
      <w:r w:rsidR="00F75509" w:rsidRPr="004F06F2">
        <w:rPr>
          <w:rFonts w:eastAsia="Times New Roman" w:cs="Times New Roman"/>
          <w:color w:val="000000"/>
          <w:sz w:val="22"/>
          <w:szCs w:val="22"/>
          <w:lang w:eastAsia="es-MX"/>
        </w:rPr>
        <w:t>00</w:t>
      </w:r>
      <w:r w:rsidRPr="004F06F2">
        <w:rPr>
          <w:rFonts w:eastAsia="Times New Roman" w:cs="Times New Roman"/>
          <w:color w:val="000000"/>
          <w:sz w:val="22"/>
          <w:szCs w:val="22"/>
          <w:lang w:eastAsia="es-MX"/>
        </w:rPr>
        <w:t xml:space="preserve"> pesos, en donde ya se incluye el</w:t>
      </w:r>
      <w:r w:rsidR="00634229" w:rsidRPr="004F06F2">
        <w:rPr>
          <w:rFonts w:eastAsia="Times New Roman" w:cs="Times New Roman"/>
          <w:color w:val="000000"/>
          <w:sz w:val="22"/>
          <w:szCs w:val="22"/>
          <w:lang w:eastAsia="es-MX"/>
        </w:rPr>
        <w:t xml:space="preserve"> </w:t>
      </w:r>
      <w:r w:rsidRPr="004F06F2">
        <w:rPr>
          <w:rFonts w:eastAsia="Times New Roman" w:cs="Times New Roman"/>
          <w:color w:val="000000"/>
          <w:sz w:val="22"/>
          <w:szCs w:val="22"/>
          <w:lang w:eastAsia="es-MX"/>
        </w:rPr>
        <w:t>resultado superavitario o ahorro que se obtuvo en el ejercicio 202</w:t>
      </w:r>
      <w:r w:rsidR="00F75509" w:rsidRPr="004F06F2">
        <w:rPr>
          <w:rFonts w:eastAsia="Times New Roman" w:cs="Times New Roman"/>
          <w:color w:val="000000"/>
          <w:sz w:val="22"/>
          <w:szCs w:val="22"/>
          <w:lang w:eastAsia="es-MX"/>
        </w:rPr>
        <w:t>3</w:t>
      </w:r>
      <w:r w:rsidRPr="004F06F2">
        <w:rPr>
          <w:rFonts w:eastAsia="Times New Roman" w:cs="Times New Roman"/>
          <w:color w:val="000000"/>
          <w:sz w:val="22"/>
          <w:szCs w:val="22"/>
          <w:lang w:eastAsia="es-MX"/>
        </w:rPr>
        <w:t xml:space="preserve"> por un importe de </w:t>
      </w:r>
      <w:r w:rsidR="001103CD" w:rsidRPr="004F06F2">
        <w:rPr>
          <w:rFonts w:eastAsia="Times New Roman" w:cs="Times New Roman"/>
          <w:color w:val="000000"/>
          <w:sz w:val="22"/>
          <w:szCs w:val="22"/>
          <w:lang w:eastAsia="es-MX"/>
        </w:rPr>
        <w:t>3</w:t>
      </w:r>
      <w:r w:rsidR="006D2345" w:rsidRPr="004F06F2">
        <w:rPr>
          <w:rFonts w:eastAsia="Calibri" w:cs="Times New Roman"/>
          <w:color w:val="000000"/>
          <w:sz w:val="22"/>
          <w:szCs w:val="22"/>
        </w:rPr>
        <w:t xml:space="preserve"> mil </w:t>
      </w:r>
      <w:r w:rsidR="001103CD" w:rsidRPr="004F06F2">
        <w:rPr>
          <w:rFonts w:eastAsia="Calibri" w:cs="Times New Roman"/>
          <w:color w:val="000000"/>
          <w:sz w:val="22"/>
          <w:szCs w:val="22"/>
        </w:rPr>
        <w:t xml:space="preserve">592 </w:t>
      </w:r>
      <w:r w:rsidR="006D2345" w:rsidRPr="004F06F2">
        <w:rPr>
          <w:rFonts w:eastAsia="Calibri" w:cs="Times New Roman"/>
          <w:color w:val="000000"/>
          <w:sz w:val="22"/>
          <w:szCs w:val="22"/>
        </w:rPr>
        <w:t xml:space="preserve">millones </w:t>
      </w:r>
      <w:r w:rsidR="001103CD" w:rsidRPr="004F06F2">
        <w:rPr>
          <w:rFonts w:eastAsia="Calibri" w:cs="Times New Roman"/>
          <w:color w:val="000000"/>
          <w:sz w:val="22"/>
          <w:szCs w:val="22"/>
        </w:rPr>
        <w:t>267</w:t>
      </w:r>
      <w:r w:rsidR="006D2345" w:rsidRPr="004F06F2">
        <w:rPr>
          <w:rFonts w:eastAsia="Calibri" w:cs="Times New Roman"/>
          <w:color w:val="000000"/>
          <w:sz w:val="22"/>
          <w:szCs w:val="22"/>
        </w:rPr>
        <w:t xml:space="preserve"> mil </w:t>
      </w:r>
      <w:r w:rsidR="00F75509" w:rsidRPr="004F06F2">
        <w:rPr>
          <w:rFonts w:eastAsia="Calibri" w:cs="Times New Roman"/>
          <w:color w:val="000000"/>
          <w:sz w:val="22"/>
          <w:szCs w:val="22"/>
        </w:rPr>
        <w:t>5</w:t>
      </w:r>
      <w:r w:rsidR="001103CD" w:rsidRPr="004F06F2">
        <w:rPr>
          <w:rFonts w:eastAsia="Calibri" w:cs="Times New Roman"/>
          <w:color w:val="000000"/>
          <w:sz w:val="22"/>
          <w:szCs w:val="22"/>
        </w:rPr>
        <w:t>21</w:t>
      </w:r>
      <w:r w:rsidR="00D11E73" w:rsidRPr="004F06F2">
        <w:rPr>
          <w:rFonts w:eastAsia="Calibri" w:cs="Times New Roman"/>
          <w:color w:val="000000"/>
          <w:sz w:val="22"/>
          <w:szCs w:val="22"/>
        </w:rPr>
        <w:t xml:space="preserve"> pesos</w:t>
      </w:r>
      <w:r w:rsidRPr="004F06F2">
        <w:rPr>
          <w:rFonts w:eastAsia="Times New Roman" w:cs="Times New Roman"/>
          <w:color w:val="000000"/>
          <w:sz w:val="22"/>
          <w:szCs w:val="22"/>
          <w:lang w:eastAsia="es-MX"/>
        </w:rPr>
        <w:t>.</w:t>
      </w:r>
    </w:p>
    <w:p w14:paraId="4EA6E7C9" w14:textId="77777777" w:rsidR="000F24EE" w:rsidRPr="004F06F2" w:rsidRDefault="000F24EE" w:rsidP="00072C3D">
      <w:pPr>
        <w:widowControl w:val="0"/>
        <w:kinsoku w:val="0"/>
        <w:spacing w:before="0" w:after="0"/>
        <w:contextualSpacing/>
        <w:rPr>
          <w:rFonts w:eastAsia="Times New Roman" w:cs="Times New Roman"/>
          <w:color w:val="000000"/>
          <w:sz w:val="22"/>
          <w:szCs w:val="22"/>
          <w:lang w:eastAsia="es-MX"/>
        </w:rPr>
      </w:pPr>
    </w:p>
    <w:p w14:paraId="08D2FFED" w14:textId="2DCE4326" w:rsidR="009A652D" w:rsidRPr="004F06F2" w:rsidRDefault="009A652D" w:rsidP="00072C3D">
      <w:pPr>
        <w:spacing w:before="0" w:after="0"/>
        <w:rPr>
          <w:rFonts w:ascii="Arial" w:hAnsi="Arial" w:cs="Arial"/>
          <w:b/>
          <w:color w:val="000000"/>
          <w:sz w:val="22"/>
          <w:szCs w:val="22"/>
        </w:rPr>
      </w:pPr>
      <w:r w:rsidRPr="004F06F2">
        <w:rPr>
          <w:rFonts w:eastAsia="Calibri" w:cs="Times New Roman"/>
          <w:b/>
          <w:sz w:val="22"/>
          <w:szCs w:val="22"/>
        </w:rPr>
        <w:t>Rectificaciones de Resultado de Ejercicios Anteriores</w:t>
      </w:r>
      <w:r w:rsidRPr="004F06F2">
        <w:rPr>
          <w:rFonts w:ascii="Arial" w:hAnsi="Arial" w:cs="Arial"/>
          <w:b/>
          <w:color w:val="000000"/>
          <w:sz w:val="22"/>
          <w:szCs w:val="22"/>
        </w:rPr>
        <w:t xml:space="preserve"> </w:t>
      </w:r>
    </w:p>
    <w:p w14:paraId="72847D20" w14:textId="77777777" w:rsidR="00187B10" w:rsidRPr="004F06F2" w:rsidRDefault="00187B10" w:rsidP="00072C3D">
      <w:pPr>
        <w:widowControl w:val="0"/>
        <w:kinsoku w:val="0"/>
        <w:spacing w:before="0" w:after="0"/>
        <w:contextualSpacing/>
        <w:rPr>
          <w:rFonts w:eastAsia="Times New Roman" w:cs="Times New Roman"/>
          <w:color w:val="000000"/>
          <w:sz w:val="22"/>
          <w:szCs w:val="22"/>
          <w:lang w:eastAsia="es-MX"/>
        </w:rPr>
      </w:pPr>
    </w:p>
    <w:p w14:paraId="70541AC7" w14:textId="7F20A95D" w:rsidR="00401D23" w:rsidRPr="004F06F2" w:rsidRDefault="003E0BBE" w:rsidP="00072C3D">
      <w:pPr>
        <w:widowControl w:val="0"/>
        <w:kinsoku w:val="0"/>
        <w:spacing w:before="0" w:after="0"/>
        <w:contextualSpacing/>
        <w:rPr>
          <w:rFonts w:eastAsia="Times New Roman" w:cs="Times New Roman"/>
          <w:color w:val="000000"/>
          <w:sz w:val="22"/>
          <w:szCs w:val="22"/>
          <w:lang w:eastAsia="es-MX"/>
        </w:rPr>
      </w:pPr>
      <w:r w:rsidRPr="004F06F2">
        <w:rPr>
          <w:rFonts w:eastAsia="Times New Roman" w:cs="Times New Roman"/>
          <w:color w:val="000000"/>
          <w:sz w:val="22"/>
          <w:szCs w:val="22"/>
          <w:lang w:eastAsia="es-MX"/>
        </w:rPr>
        <w:t xml:space="preserve">En esta cuenta se </w:t>
      </w:r>
      <w:r w:rsidR="00072B36" w:rsidRPr="004F06F2">
        <w:rPr>
          <w:rFonts w:eastAsia="Times New Roman" w:cs="Times New Roman"/>
          <w:color w:val="000000"/>
          <w:sz w:val="22"/>
          <w:szCs w:val="22"/>
          <w:lang w:eastAsia="es-MX"/>
        </w:rPr>
        <w:t>establece el</w:t>
      </w:r>
      <w:r w:rsidRPr="004F06F2">
        <w:rPr>
          <w:rFonts w:eastAsia="Times New Roman" w:cs="Times New Roman"/>
          <w:color w:val="000000"/>
          <w:sz w:val="22"/>
          <w:szCs w:val="22"/>
          <w:lang w:eastAsia="es-MX"/>
        </w:rPr>
        <w:t xml:space="preserve"> importe correspondiente a la corrección de las omisiones, inexactitudes e imprecisiones de registros en los estados financieros de los entes públicos, o bien por los registros contables extemporáneos, por correcciones por errores aritméticos, por errores en la aplicación de políticas contables, así como la inadvertencia o mala interpretación de hechos</w:t>
      </w:r>
      <w:r w:rsidR="00072B36" w:rsidRPr="004F06F2">
        <w:rPr>
          <w:rFonts w:eastAsia="Times New Roman" w:cs="Times New Roman"/>
          <w:color w:val="000000"/>
          <w:sz w:val="22"/>
          <w:szCs w:val="22"/>
          <w:lang w:eastAsia="es-MX"/>
        </w:rPr>
        <w:t>.</w:t>
      </w:r>
    </w:p>
    <w:p w14:paraId="48E36EC0" w14:textId="77777777" w:rsidR="007E1CED" w:rsidRPr="004F06F2" w:rsidRDefault="007E1CED" w:rsidP="00C33638">
      <w:pPr>
        <w:widowControl w:val="0"/>
        <w:kinsoku w:val="0"/>
        <w:spacing w:before="0" w:after="0"/>
        <w:contextualSpacing/>
        <w:rPr>
          <w:rFonts w:eastAsia="Calibri" w:cs="Times New Roman"/>
          <w:b/>
          <w:szCs w:val="36"/>
        </w:rPr>
      </w:pPr>
    </w:p>
    <w:p w14:paraId="7796E600" w14:textId="5A152E96" w:rsidR="00C33638" w:rsidRPr="004F06F2" w:rsidRDefault="009627F2" w:rsidP="00C33638">
      <w:pPr>
        <w:widowControl w:val="0"/>
        <w:kinsoku w:val="0"/>
        <w:spacing w:before="0" w:after="0"/>
        <w:contextualSpacing/>
        <w:rPr>
          <w:rFonts w:eastAsia="Calibri" w:cs="Times New Roman"/>
          <w:b/>
          <w:szCs w:val="36"/>
        </w:rPr>
      </w:pPr>
      <w:r w:rsidRPr="004F06F2">
        <w:rPr>
          <w:rFonts w:eastAsia="Calibri" w:cs="Times New Roman"/>
          <w:b/>
          <w:szCs w:val="36"/>
        </w:rPr>
        <w:t xml:space="preserve">IV) </w:t>
      </w:r>
      <w:r w:rsidR="00C33638" w:rsidRPr="004F06F2">
        <w:rPr>
          <w:rFonts w:eastAsia="Calibri" w:cs="Times New Roman"/>
          <w:b/>
          <w:szCs w:val="36"/>
        </w:rPr>
        <w:t>NOTAS AL ESTADO DE FLUJOS DE EFECTIVO</w:t>
      </w:r>
    </w:p>
    <w:p w14:paraId="30C6B641" w14:textId="5ABC2492" w:rsidR="00187B10" w:rsidRPr="004F06F2" w:rsidRDefault="00090BDA" w:rsidP="00090BDA">
      <w:pPr>
        <w:widowControl w:val="0"/>
        <w:kinsoku w:val="0"/>
        <w:spacing w:before="0" w:after="0"/>
        <w:contextualSpacing/>
        <w:rPr>
          <w:rFonts w:eastAsia="Times New Roman" w:cs="Times New Roman"/>
          <w:color w:val="000000"/>
          <w:sz w:val="22"/>
          <w:szCs w:val="22"/>
          <w:lang w:eastAsia="es-MX"/>
        </w:rPr>
      </w:pPr>
      <w:r w:rsidRPr="004F06F2">
        <w:rPr>
          <w:rFonts w:eastAsia="Times New Roman" w:cs="Times New Roman"/>
          <w:color w:val="000000"/>
          <w:sz w:val="22"/>
          <w:szCs w:val="22"/>
          <w:lang w:eastAsia="es-MX"/>
        </w:rPr>
        <w:t xml:space="preserve">1.- </w:t>
      </w:r>
      <w:r w:rsidR="00E110DE" w:rsidRPr="004F06F2">
        <w:rPr>
          <w:rFonts w:eastAsia="Times New Roman" w:cs="Times New Roman"/>
          <w:color w:val="000000"/>
          <w:sz w:val="22"/>
          <w:szCs w:val="22"/>
          <w:lang w:eastAsia="es-MX"/>
        </w:rPr>
        <w:t xml:space="preserve">La integración </w:t>
      </w:r>
      <w:r w:rsidRPr="004F06F2">
        <w:rPr>
          <w:rFonts w:eastAsia="Times New Roman" w:cs="Times New Roman"/>
          <w:color w:val="000000"/>
          <w:sz w:val="22"/>
          <w:szCs w:val="22"/>
          <w:lang w:eastAsia="es-MX"/>
        </w:rPr>
        <w:t xml:space="preserve">de </w:t>
      </w:r>
      <w:r w:rsidR="00326E05" w:rsidRPr="004F06F2">
        <w:rPr>
          <w:rFonts w:eastAsia="Times New Roman" w:cs="Times New Roman"/>
          <w:color w:val="000000"/>
          <w:sz w:val="22"/>
          <w:szCs w:val="22"/>
          <w:lang w:eastAsia="es-MX"/>
        </w:rPr>
        <w:t xml:space="preserve">los saldos inicial y final al </w:t>
      </w:r>
      <w:r w:rsidR="00053575" w:rsidRPr="004F06F2">
        <w:rPr>
          <w:rFonts w:eastAsia="Times New Roman" w:cs="Times New Roman"/>
          <w:color w:val="000000"/>
          <w:sz w:val="22"/>
          <w:szCs w:val="22"/>
          <w:lang w:eastAsia="es-MX"/>
        </w:rPr>
        <w:t xml:space="preserve">31 de </w:t>
      </w:r>
      <w:r w:rsidR="00F75509" w:rsidRPr="004F06F2">
        <w:rPr>
          <w:rFonts w:eastAsia="Times New Roman" w:cs="Times New Roman"/>
          <w:color w:val="000000"/>
          <w:sz w:val="22"/>
          <w:szCs w:val="22"/>
          <w:lang w:eastAsia="es-MX"/>
        </w:rPr>
        <w:t>marzo</w:t>
      </w:r>
      <w:r w:rsidR="00A52941" w:rsidRPr="004F06F2">
        <w:rPr>
          <w:rFonts w:eastAsia="Times New Roman" w:cs="Times New Roman"/>
          <w:color w:val="000000"/>
          <w:sz w:val="22"/>
          <w:szCs w:val="22"/>
          <w:lang w:eastAsia="es-MX"/>
        </w:rPr>
        <w:t xml:space="preserve"> </w:t>
      </w:r>
      <w:r w:rsidRPr="004F06F2">
        <w:rPr>
          <w:rFonts w:eastAsia="Times New Roman" w:cs="Times New Roman"/>
          <w:color w:val="000000"/>
          <w:sz w:val="22"/>
          <w:szCs w:val="22"/>
          <w:lang w:eastAsia="es-MX"/>
        </w:rPr>
        <w:t>de 202</w:t>
      </w:r>
      <w:r w:rsidR="00F75509" w:rsidRPr="004F06F2">
        <w:rPr>
          <w:rFonts w:eastAsia="Times New Roman" w:cs="Times New Roman"/>
          <w:color w:val="000000"/>
          <w:sz w:val="22"/>
          <w:szCs w:val="22"/>
          <w:lang w:eastAsia="es-MX"/>
        </w:rPr>
        <w:t>4</w:t>
      </w:r>
      <w:r w:rsidRPr="004F06F2">
        <w:rPr>
          <w:rFonts w:eastAsia="Times New Roman" w:cs="Times New Roman"/>
          <w:color w:val="000000"/>
          <w:sz w:val="22"/>
          <w:szCs w:val="22"/>
          <w:lang w:eastAsia="es-MX"/>
        </w:rPr>
        <w:t xml:space="preserve"> del Efectivo y Equivalentes, que figuran en la última parte del Estado de Flujo de Efectivo en esta cuenta es </w:t>
      </w:r>
      <w:r w:rsidR="00E110DE" w:rsidRPr="004F06F2">
        <w:rPr>
          <w:rFonts w:eastAsia="Times New Roman" w:cs="Times New Roman"/>
          <w:color w:val="000000"/>
          <w:sz w:val="22"/>
          <w:szCs w:val="22"/>
          <w:lang w:eastAsia="es-MX"/>
        </w:rPr>
        <w:t>la siguiente</w:t>
      </w:r>
      <w:r w:rsidRPr="004F06F2">
        <w:rPr>
          <w:rFonts w:eastAsia="Times New Roman" w:cs="Times New Roman"/>
          <w:color w:val="000000"/>
          <w:sz w:val="22"/>
          <w:szCs w:val="22"/>
          <w:lang w:eastAsia="es-MX"/>
        </w:rPr>
        <w:t>:</w:t>
      </w:r>
    </w:p>
    <w:p w14:paraId="42670609" w14:textId="6CC4F6F8" w:rsidR="00090BDA" w:rsidRPr="004F06F2" w:rsidRDefault="00090BDA" w:rsidP="00090BDA">
      <w:pPr>
        <w:widowControl w:val="0"/>
        <w:kinsoku w:val="0"/>
        <w:spacing w:before="0" w:after="0"/>
        <w:contextualSpacing/>
        <w:rPr>
          <w:noProof/>
        </w:rPr>
      </w:pPr>
      <w:r w:rsidRPr="004F06F2">
        <w:rPr>
          <w:rFonts w:eastAsia="Times New Roman" w:cs="Times New Roman"/>
          <w:color w:val="000000"/>
          <w:sz w:val="22"/>
          <w:szCs w:val="22"/>
          <w:lang w:eastAsia="es-MX"/>
        </w:rPr>
        <w:t xml:space="preserve">  </w:t>
      </w:r>
      <w:r w:rsidR="007A6EE1" w:rsidRPr="004F06F2">
        <w:rPr>
          <w:noProof/>
          <w:lang w:val="es-MX" w:eastAsia="es-MX"/>
        </w:rPr>
        <w:drawing>
          <wp:inline distT="0" distB="0" distL="0" distR="0" wp14:anchorId="72E1E711" wp14:editId="1CF2408E">
            <wp:extent cx="6351270" cy="992079"/>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51270" cy="992079"/>
                    </a:xfrm>
                    <a:prstGeom prst="rect">
                      <a:avLst/>
                    </a:prstGeom>
                    <a:noFill/>
                    <a:ln>
                      <a:noFill/>
                    </a:ln>
                  </pic:spPr>
                </pic:pic>
              </a:graphicData>
            </a:graphic>
          </wp:inline>
        </w:drawing>
      </w:r>
    </w:p>
    <w:p w14:paraId="2BD9CDB2" w14:textId="262752BE" w:rsidR="00387CC6" w:rsidRPr="004F06F2" w:rsidRDefault="00387CC6" w:rsidP="00090BDA">
      <w:pPr>
        <w:widowControl w:val="0"/>
        <w:kinsoku w:val="0"/>
        <w:spacing w:before="0" w:after="0"/>
        <w:contextualSpacing/>
        <w:rPr>
          <w:rFonts w:eastAsia="Times New Roman" w:cs="Times New Roman"/>
          <w:color w:val="000000"/>
          <w:sz w:val="22"/>
          <w:szCs w:val="22"/>
          <w:lang w:eastAsia="es-MX"/>
        </w:rPr>
      </w:pPr>
    </w:p>
    <w:p w14:paraId="2DEB67F9" w14:textId="77777777" w:rsidR="00FC0B28" w:rsidRPr="004F06F2" w:rsidRDefault="00FC0B28" w:rsidP="00CF3F53">
      <w:pPr>
        <w:widowControl w:val="0"/>
        <w:kinsoku w:val="0"/>
        <w:spacing w:before="0" w:after="0"/>
        <w:contextualSpacing/>
      </w:pPr>
    </w:p>
    <w:p w14:paraId="4C126884" w14:textId="77777777" w:rsidR="007A6EE1" w:rsidRPr="004F06F2" w:rsidRDefault="007A6EE1" w:rsidP="007A6EE1">
      <w:pPr>
        <w:widowControl w:val="0"/>
        <w:kinsoku w:val="0"/>
        <w:spacing w:before="0" w:after="0"/>
        <w:contextualSpacing/>
      </w:pPr>
    </w:p>
    <w:p w14:paraId="300F5AA3" w14:textId="77777777" w:rsidR="00167CB4" w:rsidRPr="004F06F2" w:rsidRDefault="00167CB4" w:rsidP="007A6EE1">
      <w:pPr>
        <w:widowControl w:val="0"/>
        <w:kinsoku w:val="0"/>
        <w:spacing w:before="0" w:after="0"/>
        <w:contextualSpacing/>
      </w:pPr>
    </w:p>
    <w:p w14:paraId="36F77F26" w14:textId="77777777" w:rsidR="00167CB4" w:rsidRPr="004F06F2" w:rsidRDefault="00167CB4" w:rsidP="007A6EE1">
      <w:pPr>
        <w:widowControl w:val="0"/>
        <w:kinsoku w:val="0"/>
        <w:spacing w:before="0" w:after="0"/>
        <w:contextualSpacing/>
      </w:pPr>
    </w:p>
    <w:p w14:paraId="79407CE5" w14:textId="77777777" w:rsidR="007A6EE1" w:rsidRPr="004F06F2" w:rsidRDefault="007A6EE1" w:rsidP="007A6EE1">
      <w:pPr>
        <w:widowControl w:val="0"/>
        <w:kinsoku w:val="0"/>
        <w:spacing w:before="0" w:after="0"/>
        <w:contextualSpacing/>
      </w:pPr>
      <w:r w:rsidRPr="004F06F2">
        <w:t xml:space="preserve"> </w:t>
      </w:r>
    </w:p>
    <w:p w14:paraId="5163CCB6" w14:textId="77777777" w:rsidR="00F75509" w:rsidRPr="004F06F2" w:rsidRDefault="00F75509" w:rsidP="00CF3F53">
      <w:pPr>
        <w:widowControl w:val="0"/>
        <w:kinsoku w:val="0"/>
        <w:spacing w:before="0" w:after="0"/>
        <w:contextualSpacing/>
      </w:pPr>
    </w:p>
    <w:p w14:paraId="1FE7FCC3" w14:textId="613D7494" w:rsidR="00290880" w:rsidRPr="004F06F2" w:rsidRDefault="009627F2" w:rsidP="00CF3F53">
      <w:pPr>
        <w:widowControl w:val="0"/>
        <w:kinsoku w:val="0"/>
        <w:spacing w:before="0" w:after="0"/>
        <w:contextualSpacing/>
        <w:rPr>
          <w:rFonts w:eastAsia="Calibri" w:cs="Times New Roman"/>
          <w:b/>
          <w:szCs w:val="36"/>
        </w:rPr>
      </w:pPr>
      <w:r w:rsidRPr="004F06F2">
        <w:rPr>
          <w:rFonts w:eastAsia="Calibri" w:cs="Times New Roman"/>
          <w:b/>
          <w:szCs w:val="36"/>
        </w:rPr>
        <w:lastRenderedPageBreak/>
        <w:t xml:space="preserve">V) </w:t>
      </w:r>
      <w:r w:rsidR="00C33638" w:rsidRPr="004F06F2">
        <w:rPr>
          <w:rFonts w:eastAsia="Calibri" w:cs="Times New Roman"/>
          <w:b/>
          <w:szCs w:val="36"/>
        </w:rPr>
        <w:t>CONCILIACIÓN ENTRE LOS INGRESOS PRESUPUESTARIOS Y CONTABLES, ASÍ COMO ENTRE LOS EGRESOS PRESUPUESTARIOS Y LOS GASTOS CO</w:t>
      </w:r>
      <w:r w:rsidR="00AC67B5" w:rsidRPr="004F06F2">
        <w:rPr>
          <w:rFonts w:eastAsia="Calibri" w:cs="Times New Roman"/>
          <w:b/>
          <w:szCs w:val="36"/>
        </w:rPr>
        <w:t>N</w:t>
      </w:r>
      <w:r w:rsidR="00C33638" w:rsidRPr="004F06F2">
        <w:rPr>
          <w:rFonts w:eastAsia="Calibri" w:cs="Times New Roman"/>
          <w:b/>
          <w:szCs w:val="36"/>
        </w:rPr>
        <w:t>TABLES</w:t>
      </w:r>
    </w:p>
    <w:p w14:paraId="601DFFAD" w14:textId="4CB843EB" w:rsidR="00DE3B4C" w:rsidRPr="004F06F2" w:rsidRDefault="00256A7B" w:rsidP="00DE3B4C">
      <w:r w:rsidRPr="004F06F2">
        <w:rPr>
          <w:noProof/>
          <w:lang w:val="es-MX" w:eastAsia="es-MX"/>
        </w:rPr>
        <w:drawing>
          <wp:inline distT="0" distB="0" distL="0" distR="0" wp14:anchorId="1C962080" wp14:editId="084EA90E">
            <wp:extent cx="6165215" cy="5093970"/>
            <wp:effectExtent l="0" t="0" r="698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65215" cy="5093970"/>
                    </a:xfrm>
                    <a:prstGeom prst="rect">
                      <a:avLst/>
                    </a:prstGeom>
                    <a:noFill/>
                    <a:ln>
                      <a:noFill/>
                    </a:ln>
                  </pic:spPr>
                </pic:pic>
              </a:graphicData>
            </a:graphic>
          </wp:inline>
        </w:drawing>
      </w:r>
    </w:p>
    <w:p w14:paraId="7F43D510" w14:textId="16192347" w:rsidR="00DE3B4C" w:rsidRPr="004F06F2" w:rsidRDefault="00DE3B4C" w:rsidP="00DE3B4C"/>
    <w:p w14:paraId="522B82B3" w14:textId="77777777" w:rsidR="009A10B9" w:rsidRPr="004F06F2" w:rsidRDefault="009A10B9" w:rsidP="00DE3B4C"/>
    <w:p w14:paraId="6A41FD0B" w14:textId="77777777" w:rsidR="009A10B9" w:rsidRPr="004F06F2" w:rsidRDefault="009A10B9" w:rsidP="00DE3B4C"/>
    <w:p w14:paraId="00957E0B" w14:textId="77777777" w:rsidR="009A10B9" w:rsidRPr="004F06F2" w:rsidRDefault="009A10B9" w:rsidP="00DE3B4C"/>
    <w:p w14:paraId="021126D2" w14:textId="77777777" w:rsidR="009A10B9" w:rsidRPr="004F06F2" w:rsidRDefault="009A10B9" w:rsidP="00DE3B4C"/>
    <w:p w14:paraId="670AE9F4" w14:textId="38BCF6C6" w:rsidR="009A10B9" w:rsidRPr="004F06F2" w:rsidRDefault="009A10B9" w:rsidP="00DE3B4C"/>
    <w:p w14:paraId="28BE2CAA" w14:textId="77777777" w:rsidR="009A10B9" w:rsidRPr="004F06F2" w:rsidRDefault="009A10B9" w:rsidP="00DE3B4C"/>
    <w:p w14:paraId="6168F335" w14:textId="21145ABC" w:rsidR="00C10DFE" w:rsidRPr="004F06F2" w:rsidRDefault="00B21054" w:rsidP="00DE3B4C">
      <w:r w:rsidRPr="00B21054">
        <w:rPr>
          <w:noProof/>
          <w:lang w:val="es-MX" w:eastAsia="es-MX"/>
        </w:rPr>
        <w:lastRenderedPageBreak/>
        <w:drawing>
          <wp:inline distT="0" distB="0" distL="0" distR="0" wp14:anchorId="1FA92ED0" wp14:editId="2D4C36C6">
            <wp:extent cx="6351270" cy="789183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51270" cy="7891831"/>
                    </a:xfrm>
                    <a:prstGeom prst="rect">
                      <a:avLst/>
                    </a:prstGeom>
                    <a:noFill/>
                    <a:ln>
                      <a:noFill/>
                    </a:ln>
                  </pic:spPr>
                </pic:pic>
              </a:graphicData>
            </a:graphic>
          </wp:inline>
        </w:drawing>
      </w:r>
    </w:p>
    <w:p w14:paraId="4DFD4719" w14:textId="539684E0" w:rsidR="007E1CED" w:rsidRPr="004F06F2" w:rsidRDefault="007E1CED" w:rsidP="00DE3B4C"/>
    <w:p w14:paraId="0D6BBED8" w14:textId="77777777" w:rsidR="002A5285" w:rsidRPr="004F06F2" w:rsidRDefault="002A5285" w:rsidP="00DE3B4C"/>
    <w:p w14:paraId="07249F6D" w14:textId="5C55F4AB" w:rsidR="004A0245" w:rsidRPr="004F06F2" w:rsidRDefault="001D36C8" w:rsidP="004A0245">
      <w:pPr>
        <w:spacing w:before="0" w:after="0"/>
        <w:jc w:val="center"/>
        <w:rPr>
          <w:rFonts w:eastAsia="Calibri" w:cs="Times New Roman"/>
          <w:b/>
          <w:sz w:val="28"/>
          <w:szCs w:val="28"/>
        </w:rPr>
      </w:pPr>
      <w:r w:rsidRPr="004F06F2">
        <w:rPr>
          <w:rFonts w:eastAsia="Calibri" w:cs="Times New Roman"/>
          <w:b/>
          <w:sz w:val="28"/>
          <w:szCs w:val="28"/>
        </w:rPr>
        <w:t>c</w:t>
      </w:r>
      <w:r w:rsidR="00875454" w:rsidRPr="004F06F2">
        <w:rPr>
          <w:rFonts w:eastAsia="Calibri" w:cs="Times New Roman"/>
          <w:b/>
          <w:sz w:val="28"/>
          <w:szCs w:val="28"/>
        </w:rPr>
        <w:t xml:space="preserve">) </w:t>
      </w:r>
      <w:r w:rsidR="004A0245" w:rsidRPr="004F06F2">
        <w:rPr>
          <w:rFonts w:eastAsia="Calibri" w:cs="Times New Roman"/>
          <w:b/>
          <w:sz w:val="28"/>
          <w:szCs w:val="28"/>
        </w:rPr>
        <w:t>NOTAS DE MEMORIA (CUENTAS DE ORDEN)</w:t>
      </w:r>
    </w:p>
    <w:p w14:paraId="03FF5CB6" w14:textId="7608296F" w:rsidR="004A7A74" w:rsidRPr="004F06F2" w:rsidRDefault="004A7A74" w:rsidP="004A0245">
      <w:pPr>
        <w:spacing w:before="0" w:after="0"/>
        <w:jc w:val="left"/>
        <w:rPr>
          <w:rFonts w:eastAsia="Calibri" w:cs="Times New Roman"/>
          <w:bCs/>
          <w:sz w:val="22"/>
          <w:szCs w:val="22"/>
        </w:rPr>
      </w:pPr>
    </w:p>
    <w:p w14:paraId="769458ED" w14:textId="1DDD4846" w:rsidR="004A7A74" w:rsidRPr="004F06F2" w:rsidRDefault="004A7A74" w:rsidP="004A7A74">
      <w:pPr>
        <w:spacing w:before="0" w:after="0"/>
        <w:rPr>
          <w:rFonts w:eastAsia="Calibri" w:cs="Times New Roman"/>
          <w:bCs/>
          <w:sz w:val="22"/>
          <w:szCs w:val="22"/>
        </w:rPr>
      </w:pPr>
      <w:r w:rsidRPr="004F06F2">
        <w:rPr>
          <w:rFonts w:eastAsia="Calibri" w:cs="Times New Roman"/>
          <w:bCs/>
          <w:sz w:val="22"/>
          <w:szCs w:val="22"/>
        </w:rPr>
        <w:t>Se informa de manera agrupada las cuentas de orden contables y cuentas de orden presupuestario, considerando al menos lo siguientes:</w:t>
      </w:r>
    </w:p>
    <w:p w14:paraId="34247FBF" w14:textId="52274B26" w:rsidR="008830EE" w:rsidRPr="004F06F2" w:rsidRDefault="008830EE" w:rsidP="004A7A74">
      <w:pPr>
        <w:spacing w:before="0" w:after="0"/>
        <w:rPr>
          <w:rFonts w:eastAsia="Calibri" w:cs="Times New Roman"/>
          <w:bCs/>
          <w:sz w:val="22"/>
          <w:szCs w:val="22"/>
        </w:rPr>
      </w:pPr>
    </w:p>
    <w:p w14:paraId="7745A1C4" w14:textId="557F9BA8" w:rsidR="004A7A74" w:rsidRPr="004F06F2" w:rsidRDefault="004A7A74" w:rsidP="004A7A74">
      <w:pPr>
        <w:spacing w:before="0" w:after="0"/>
        <w:rPr>
          <w:rFonts w:eastAsia="Calibri" w:cs="Times New Roman"/>
          <w:bCs/>
          <w:sz w:val="22"/>
          <w:szCs w:val="22"/>
        </w:rPr>
      </w:pPr>
      <w:r w:rsidRPr="004F06F2">
        <w:rPr>
          <w:rFonts w:eastAsia="Calibri" w:cs="Times New Roman"/>
          <w:bCs/>
          <w:sz w:val="22"/>
          <w:szCs w:val="22"/>
        </w:rPr>
        <w:t>1.- Los valores en custodia de instrumentos prestados a formadores de mercado e instrumentos de crédito recibidos en garantía de los formadores de mercado u otros: No Aplica</w:t>
      </w:r>
    </w:p>
    <w:p w14:paraId="455BE52C" w14:textId="560E4B8D" w:rsidR="004A7A74" w:rsidRPr="004F06F2" w:rsidRDefault="004A7A74" w:rsidP="004A7A74">
      <w:pPr>
        <w:spacing w:before="0" w:after="0"/>
        <w:rPr>
          <w:rFonts w:eastAsia="Calibri" w:cs="Times New Roman"/>
          <w:bCs/>
          <w:sz w:val="22"/>
          <w:szCs w:val="22"/>
        </w:rPr>
      </w:pPr>
    </w:p>
    <w:p w14:paraId="7173A452" w14:textId="37B22E3F" w:rsidR="004A7A74" w:rsidRPr="004F06F2" w:rsidRDefault="004A7A74" w:rsidP="004A7A74">
      <w:pPr>
        <w:spacing w:before="0" w:after="0"/>
        <w:rPr>
          <w:rFonts w:eastAsia="Calibri" w:cs="Times New Roman"/>
          <w:bCs/>
          <w:sz w:val="22"/>
          <w:szCs w:val="22"/>
        </w:rPr>
      </w:pPr>
      <w:r w:rsidRPr="004F06F2">
        <w:rPr>
          <w:rFonts w:eastAsia="Calibri" w:cs="Times New Roman"/>
          <w:bCs/>
          <w:sz w:val="22"/>
          <w:szCs w:val="22"/>
        </w:rPr>
        <w:t>2.- Por tipo de emisión de instrumento: monto, tasas y vencimiento: No Aplica</w:t>
      </w:r>
    </w:p>
    <w:p w14:paraId="7C73C7BC" w14:textId="2719FD9A" w:rsidR="008830EE" w:rsidRPr="004F06F2" w:rsidRDefault="008830EE" w:rsidP="004A7A74">
      <w:pPr>
        <w:spacing w:before="0" w:after="0"/>
        <w:rPr>
          <w:rFonts w:eastAsia="Calibri" w:cs="Times New Roman"/>
          <w:bCs/>
          <w:sz w:val="22"/>
          <w:szCs w:val="22"/>
        </w:rPr>
      </w:pPr>
    </w:p>
    <w:p w14:paraId="00C27182" w14:textId="56C1197B" w:rsidR="004A7A74" w:rsidRPr="004F06F2" w:rsidRDefault="004A7A74" w:rsidP="004A7A74">
      <w:pPr>
        <w:spacing w:before="0" w:after="0"/>
        <w:rPr>
          <w:rFonts w:eastAsia="Calibri" w:cs="Times New Roman"/>
          <w:bCs/>
          <w:sz w:val="22"/>
          <w:szCs w:val="22"/>
        </w:rPr>
      </w:pPr>
      <w:r w:rsidRPr="004F06F2">
        <w:rPr>
          <w:rFonts w:eastAsia="Calibri" w:cs="Times New Roman"/>
          <w:bCs/>
          <w:sz w:val="22"/>
          <w:szCs w:val="22"/>
        </w:rPr>
        <w:t>3.- Los contratos firmados de construcciones por tipo de contrato: No Aplica</w:t>
      </w:r>
    </w:p>
    <w:p w14:paraId="77AC3302" w14:textId="77777777" w:rsidR="0041652A" w:rsidRPr="004F06F2" w:rsidRDefault="0041652A" w:rsidP="004A7A74">
      <w:pPr>
        <w:spacing w:before="0" w:after="0"/>
        <w:rPr>
          <w:rFonts w:eastAsia="Calibri" w:cs="Times New Roman"/>
          <w:bCs/>
          <w:sz w:val="22"/>
          <w:szCs w:val="22"/>
        </w:rPr>
      </w:pPr>
    </w:p>
    <w:p w14:paraId="242DDD12" w14:textId="77777777" w:rsidR="0041652A" w:rsidRPr="004F06F2" w:rsidRDefault="0041652A" w:rsidP="004A7A74">
      <w:pPr>
        <w:spacing w:before="0" w:after="0"/>
        <w:rPr>
          <w:rFonts w:eastAsia="Calibri" w:cs="Times New Roman"/>
          <w:bCs/>
          <w:sz w:val="22"/>
          <w:szCs w:val="22"/>
        </w:rPr>
      </w:pPr>
    </w:p>
    <w:p w14:paraId="0E86D36F" w14:textId="77777777" w:rsidR="0041652A" w:rsidRPr="004F06F2" w:rsidRDefault="0041652A" w:rsidP="004A7A74">
      <w:pPr>
        <w:spacing w:before="0" w:after="0"/>
        <w:rPr>
          <w:rFonts w:eastAsia="Calibri" w:cs="Times New Roman"/>
          <w:bCs/>
          <w:sz w:val="22"/>
          <w:szCs w:val="22"/>
        </w:rPr>
      </w:pPr>
    </w:p>
    <w:p w14:paraId="6569FF45" w14:textId="741AC318" w:rsidR="0041652A" w:rsidRPr="004F06F2" w:rsidRDefault="0041652A" w:rsidP="0041652A">
      <w:pPr>
        <w:spacing w:before="0" w:after="0" w:line="276" w:lineRule="auto"/>
        <w:jc w:val="center"/>
        <w:rPr>
          <w:rFonts w:eastAsia="Calibri" w:cs="Times New Roman"/>
          <w:bCs/>
          <w:sz w:val="22"/>
          <w:szCs w:val="22"/>
        </w:rPr>
      </w:pPr>
      <w:r w:rsidRPr="004F06F2">
        <w:rPr>
          <w:rFonts w:eastAsia="Calibri" w:cs="Times New Roman"/>
          <w:bCs/>
          <w:sz w:val="22"/>
          <w:szCs w:val="22"/>
        </w:rPr>
        <w:t>______________________________</w:t>
      </w:r>
    </w:p>
    <w:p w14:paraId="2BF84E04" w14:textId="4E7BE649" w:rsidR="0041652A" w:rsidRPr="004F06F2" w:rsidRDefault="0041652A" w:rsidP="0041652A">
      <w:pPr>
        <w:spacing w:line="276" w:lineRule="auto"/>
        <w:jc w:val="center"/>
        <w:rPr>
          <w:rFonts w:eastAsia="Calibri" w:cs="Times New Roman"/>
          <w:bCs/>
          <w:sz w:val="22"/>
          <w:szCs w:val="22"/>
        </w:rPr>
      </w:pPr>
      <w:r w:rsidRPr="004F06F2">
        <w:rPr>
          <w:rFonts w:eastAsia="Calibri" w:cs="Times New Roman"/>
          <w:bCs/>
          <w:sz w:val="22"/>
          <w:szCs w:val="22"/>
        </w:rPr>
        <w:t>DR. GUSTAVO OBLEA ROSALES</w:t>
      </w:r>
    </w:p>
    <w:p w14:paraId="6FD5C9D0" w14:textId="77777777" w:rsidR="0041652A" w:rsidRPr="004F06F2" w:rsidRDefault="0041652A" w:rsidP="0041652A">
      <w:pPr>
        <w:spacing w:line="276" w:lineRule="auto"/>
        <w:jc w:val="center"/>
        <w:rPr>
          <w:rFonts w:eastAsia="Calibri" w:cs="Times New Roman"/>
          <w:bCs/>
          <w:sz w:val="22"/>
          <w:szCs w:val="22"/>
        </w:rPr>
      </w:pPr>
      <w:r w:rsidRPr="004F06F2">
        <w:rPr>
          <w:rFonts w:eastAsia="Calibri" w:cs="Times New Roman"/>
          <w:bCs/>
          <w:sz w:val="22"/>
          <w:szCs w:val="22"/>
        </w:rPr>
        <w:t>DIRECTOR DE CONTABILIDAD GUBERNAMENTAL</w:t>
      </w:r>
    </w:p>
    <w:p w14:paraId="2E72F1E1" w14:textId="77777777" w:rsidR="0041652A" w:rsidRPr="004F06F2" w:rsidRDefault="0041652A" w:rsidP="0041652A">
      <w:pPr>
        <w:jc w:val="center"/>
        <w:rPr>
          <w:rFonts w:eastAsia="Calibri" w:cs="Times New Roman"/>
          <w:bCs/>
        </w:rPr>
      </w:pPr>
    </w:p>
    <w:p w14:paraId="0AB6093A" w14:textId="77777777" w:rsidR="0041652A" w:rsidRPr="004F06F2" w:rsidRDefault="0041652A" w:rsidP="0041652A">
      <w:pPr>
        <w:jc w:val="center"/>
        <w:rPr>
          <w:rFonts w:eastAsia="Calibri" w:cs="Times New Roman"/>
          <w:bCs/>
        </w:rPr>
      </w:pPr>
    </w:p>
    <w:p w14:paraId="048CAA4D" w14:textId="77777777" w:rsidR="0041652A" w:rsidRPr="004F06F2" w:rsidRDefault="0041652A" w:rsidP="0041652A">
      <w:pPr>
        <w:jc w:val="center"/>
        <w:rPr>
          <w:rFonts w:eastAsia="Calibri" w:cs="Times New Roman"/>
          <w:bCs/>
        </w:rPr>
      </w:pPr>
    </w:p>
    <w:p w14:paraId="236DF03D" w14:textId="77777777" w:rsidR="0041652A" w:rsidRPr="004F06F2" w:rsidRDefault="0041652A" w:rsidP="0041652A">
      <w:pPr>
        <w:jc w:val="center"/>
        <w:rPr>
          <w:rFonts w:eastAsia="Calibri" w:cs="Times New Roman"/>
          <w:bCs/>
        </w:rPr>
      </w:pPr>
    </w:p>
    <w:p w14:paraId="4BA62AB4" w14:textId="77777777" w:rsidR="0041652A" w:rsidRPr="004F06F2" w:rsidRDefault="0041652A" w:rsidP="0041652A">
      <w:pPr>
        <w:jc w:val="center"/>
        <w:rPr>
          <w:rFonts w:eastAsia="Calibri" w:cs="Times New Roman"/>
          <w:bCs/>
        </w:rPr>
      </w:pPr>
    </w:p>
    <w:p w14:paraId="40C10D5D" w14:textId="77777777" w:rsidR="0041652A" w:rsidRPr="004F06F2" w:rsidRDefault="0041652A" w:rsidP="0041652A">
      <w:pPr>
        <w:jc w:val="center"/>
        <w:rPr>
          <w:rFonts w:eastAsia="Calibri" w:cs="Times New Roman"/>
          <w:bCs/>
        </w:rPr>
      </w:pPr>
    </w:p>
    <w:p w14:paraId="492A77AF" w14:textId="77777777" w:rsidR="0041652A" w:rsidRPr="004F06F2" w:rsidRDefault="0041652A" w:rsidP="0041652A">
      <w:pPr>
        <w:jc w:val="center"/>
        <w:rPr>
          <w:rFonts w:eastAsia="Calibri" w:cs="Times New Roman"/>
          <w:bCs/>
        </w:rPr>
      </w:pPr>
    </w:p>
    <w:p w14:paraId="7D3E58AD" w14:textId="77777777" w:rsidR="0041652A" w:rsidRPr="004F06F2" w:rsidRDefault="0041652A" w:rsidP="0041652A">
      <w:pPr>
        <w:jc w:val="center"/>
        <w:rPr>
          <w:rFonts w:eastAsia="Calibri" w:cs="Times New Roman"/>
          <w:bCs/>
        </w:rPr>
      </w:pPr>
    </w:p>
    <w:p w14:paraId="5BDCD876" w14:textId="77777777" w:rsidR="0041652A" w:rsidRPr="004F06F2" w:rsidRDefault="0041652A" w:rsidP="0041652A">
      <w:pPr>
        <w:jc w:val="center"/>
        <w:rPr>
          <w:rFonts w:eastAsia="Calibri" w:cs="Times New Roman"/>
          <w:bCs/>
        </w:rPr>
      </w:pPr>
    </w:p>
    <w:p w14:paraId="64CCACAA" w14:textId="43B3993E" w:rsidR="00A032DC" w:rsidRPr="004F06F2" w:rsidRDefault="00A032DC" w:rsidP="004A0245">
      <w:pPr>
        <w:spacing w:before="0" w:after="0"/>
        <w:jc w:val="left"/>
        <w:rPr>
          <w:rFonts w:eastAsia="Calibri" w:cs="Times New Roman"/>
          <w:bC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92"/>
      </w:tblGrid>
      <w:tr w:rsidR="00C3025E" w:rsidRPr="004F06F2" w14:paraId="348E6717" w14:textId="77777777" w:rsidTr="00C3025E">
        <w:tc>
          <w:tcPr>
            <w:tcW w:w="9992" w:type="dxa"/>
          </w:tcPr>
          <w:p w14:paraId="28287E9F" w14:textId="4D80BDF3" w:rsidR="00C3025E" w:rsidRPr="004F06F2" w:rsidRDefault="00C3025E" w:rsidP="0041652A">
            <w:pPr>
              <w:jc w:val="center"/>
              <w:rPr>
                <w:rFonts w:eastAsia="Calibri" w:cs="Times New Roman"/>
                <w:bCs/>
              </w:rPr>
            </w:pPr>
            <w:r w:rsidRPr="004F06F2">
              <w:t>“</w:t>
            </w:r>
            <w:r w:rsidRPr="004F06F2">
              <w:rPr>
                <w:rFonts w:ascii="GalanoGrotesque-Light" w:eastAsia="Calibri" w:hAnsi="GalanoGrotesque-Light" w:cs="Times New Roman"/>
                <w:bCs/>
                <w:lang w:val="es-ES"/>
              </w:rPr>
              <w:t>Bajo protesta de decir verdad declar</w:t>
            </w:r>
            <w:r w:rsidR="0041652A" w:rsidRPr="004F06F2">
              <w:rPr>
                <w:rFonts w:ascii="GalanoGrotesque-Light" w:eastAsia="Calibri" w:hAnsi="GalanoGrotesque-Light" w:cs="Times New Roman"/>
                <w:bCs/>
                <w:lang w:val="es-ES"/>
              </w:rPr>
              <w:t>o</w:t>
            </w:r>
            <w:r w:rsidRPr="004F06F2">
              <w:rPr>
                <w:rFonts w:ascii="GalanoGrotesque-Light" w:eastAsia="Calibri" w:hAnsi="GalanoGrotesque-Light" w:cs="Times New Roman"/>
                <w:bCs/>
                <w:lang w:val="es-ES"/>
              </w:rPr>
              <w:t xml:space="preserve"> que los Estados Financieros y sus notas, son razonablemente correctos y son responsabilidad del emisor”</w:t>
            </w:r>
          </w:p>
        </w:tc>
      </w:tr>
    </w:tbl>
    <w:p w14:paraId="0CB71AED" w14:textId="77777777" w:rsidR="005440BE" w:rsidRPr="003A6DE7" w:rsidRDefault="005440BE">
      <w:pPr>
        <w:rPr>
          <w:color w:val="864A04" w:themeColor="accent2" w:themeShade="80"/>
          <w:u w:val="single"/>
        </w:rPr>
      </w:pPr>
    </w:p>
    <w:sectPr w:rsidR="005440BE" w:rsidRPr="003A6DE7" w:rsidSect="00774433">
      <w:headerReference w:type="even" r:id="rId55"/>
      <w:headerReference w:type="default" r:id="rId56"/>
      <w:footerReference w:type="default" r:id="rId57"/>
      <w:headerReference w:type="first" r:id="rId58"/>
      <w:pgSz w:w="12242" w:h="15842" w:code="1"/>
      <w:pgMar w:top="1559" w:right="1247" w:bottom="1021" w:left="993" w:header="340" w:footer="34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9174DE" w14:textId="77777777" w:rsidR="009850F4" w:rsidRDefault="009850F4" w:rsidP="006A5067">
      <w:pPr>
        <w:spacing w:before="0" w:after="0" w:line="240" w:lineRule="auto"/>
      </w:pPr>
      <w:r>
        <w:separator/>
      </w:r>
    </w:p>
  </w:endnote>
  <w:endnote w:type="continuationSeparator" w:id="0">
    <w:p w14:paraId="525547CD" w14:textId="77777777" w:rsidR="009850F4" w:rsidRDefault="009850F4" w:rsidP="006A506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lanoGrotesque-Light">
    <w:altName w:val="Courier New"/>
    <w:panose1 w:val="00000000000000000000"/>
    <w:charset w:val="00"/>
    <w:family w:val="modern"/>
    <w:notTrueType/>
    <w:pitch w:val="variable"/>
    <w:sig w:usb0="00000001"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GalanoGrotesque-Bold">
    <w:altName w:val="Courier New"/>
    <w:panose1 w:val="000000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PS">
    <w:panose1 w:val="00000000000000000000"/>
    <w:charset w:val="00"/>
    <w:family w:val="roman"/>
    <w:notTrueType/>
    <w:pitch w:val="variable"/>
    <w:sig w:usb0="00000003" w:usb1="00000000" w:usb2="00000000" w:usb3="00000000" w:csb0="00000001" w:csb1="00000000"/>
  </w:font>
  <w:font w:name="GalanoGrotesque-ExtraLight">
    <w:altName w:val="Calibri"/>
    <w:charset w:val="00"/>
    <w:family w:val="auto"/>
    <w:pitch w:val="variable"/>
    <w:sig w:usb0="00000007" w:usb1="00000000" w:usb2="00000000" w:usb3="00000000" w:csb0="00000093" w:csb1="00000000"/>
  </w:font>
  <w:font w:name="Grotesque Light">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1545704"/>
      <w:docPartObj>
        <w:docPartGallery w:val="Page Numbers (Bottom of Page)"/>
        <w:docPartUnique/>
      </w:docPartObj>
    </w:sdtPr>
    <w:sdtEndPr/>
    <w:sdtContent>
      <w:p w14:paraId="5BFF0BAC" w14:textId="3BB54978" w:rsidR="00A000BE" w:rsidRDefault="00A000BE">
        <w:pPr>
          <w:pStyle w:val="Piedepgina"/>
          <w:jc w:val="center"/>
        </w:pPr>
        <w:r>
          <w:fldChar w:fldCharType="begin"/>
        </w:r>
        <w:r>
          <w:instrText>PAGE   \* MERGEFORMAT</w:instrText>
        </w:r>
        <w:r>
          <w:fldChar w:fldCharType="separate"/>
        </w:r>
        <w:r w:rsidR="005C45BE">
          <w:rPr>
            <w:noProof/>
          </w:rPr>
          <w:t>1</w:t>
        </w:r>
        <w:r>
          <w:fldChar w:fldCharType="end"/>
        </w:r>
      </w:p>
      <w:p w14:paraId="52C352FB" w14:textId="0AF2FEA9" w:rsidR="00A000BE" w:rsidRDefault="00A000BE">
        <w:pPr>
          <w:pStyle w:val="Piedepgina"/>
          <w:jc w:val="center"/>
        </w:pPr>
        <w:r>
          <w:rPr>
            <w:noProof/>
            <w:lang w:val="es-MX" w:eastAsia="es-MX"/>
          </w:rPr>
          <w:drawing>
            <wp:anchor distT="0" distB="0" distL="114300" distR="114300" simplePos="0" relativeHeight="251662336" behindDoc="1" locked="0" layoutInCell="1" allowOverlap="1" wp14:anchorId="541F67F7" wp14:editId="1A251DB7">
              <wp:simplePos x="0" y="0"/>
              <wp:positionH relativeFrom="page">
                <wp:align>left</wp:align>
              </wp:positionH>
              <wp:positionV relativeFrom="paragraph">
                <wp:posOffset>167640</wp:posOffset>
              </wp:positionV>
              <wp:extent cx="7808540" cy="408305"/>
              <wp:effectExtent l="0" t="0" r="254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pic:nvPicPr>
                    <pic:blipFill>
                      <a:blip r:embed="rId1">
                        <a:extLst>
                          <a:ext uri="{28A0092B-C50C-407E-A947-70E740481C1C}">
                            <a14:useLocalDpi xmlns:a14="http://schemas.microsoft.com/office/drawing/2010/main" val="0"/>
                          </a:ext>
                        </a:extLst>
                      </a:blip>
                      <a:stretch>
                        <a:fillRect/>
                      </a:stretch>
                    </pic:blipFill>
                    <pic:spPr>
                      <a:xfrm>
                        <a:off x="0" y="0"/>
                        <a:ext cx="7808540" cy="408305"/>
                      </a:xfrm>
                      <a:prstGeom prst="rect">
                        <a:avLst/>
                      </a:prstGeom>
                    </pic:spPr>
                  </pic:pic>
                </a:graphicData>
              </a:graphic>
              <wp14:sizeRelH relativeFrom="margin">
                <wp14:pctWidth>0</wp14:pctWidth>
              </wp14:sizeRelH>
              <wp14:sizeRelV relativeFrom="margin">
                <wp14:pctHeight>0</wp14:pctHeight>
              </wp14:sizeRelV>
            </wp:anchor>
          </w:drawing>
        </w:r>
      </w:p>
    </w:sdtContent>
  </w:sdt>
  <w:p w14:paraId="48CF0268" w14:textId="5765BD5D" w:rsidR="00A000BE" w:rsidRDefault="00A000B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267872" w14:textId="77777777" w:rsidR="009850F4" w:rsidRDefault="009850F4" w:rsidP="006A5067">
      <w:pPr>
        <w:spacing w:before="0" w:after="0" w:line="240" w:lineRule="auto"/>
      </w:pPr>
      <w:bookmarkStart w:id="0" w:name="_Hlk71019289"/>
      <w:bookmarkEnd w:id="0"/>
      <w:r>
        <w:separator/>
      </w:r>
    </w:p>
  </w:footnote>
  <w:footnote w:type="continuationSeparator" w:id="0">
    <w:p w14:paraId="55D7A7CA" w14:textId="77777777" w:rsidR="009850F4" w:rsidRDefault="009850F4" w:rsidP="006A5067">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1FF45A" w14:textId="54FA492F" w:rsidR="00A000BE" w:rsidRDefault="009850F4">
    <w:pPr>
      <w:pStyle w:val="Encabezado"/>
    </w:pPr>
    <w:r>
      <w:rPr>
        <w:noProof/>
      </w:rPr>
      <w:pict w14:anchorId="20D66C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96219" o:spid="_x0000_s2055" type="#_x0000_t75" style="position:absolute;left:0;text-align:left;margin-left:0;margin-top:0;width:612.15pt;height:792.2pt;z-index:-251657216;mso-position-horizontal:center;mso-position-horizontal-relative:margin;mso-position-vertical:center;mso-position-vertical-relative:margin" o:allowincell="f">
          <v:imagedata r:id="rId1" o:title="informe_Mesa de trabajo 1 copia 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3BCA07" w14:textId="269FFBF4" w:rsidR="00A000BE" w:rsidRDefault="009850F4">
    <w:pPr>
      <w:pStyle w:val="Encabezado"/>
    </w:pPr>
    <w:r>
      <w:rPr>
        <w:noProof/>
      </w:rPr>
      <w:pict w14:anchorId="2B3C6D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96220" o:spid="_x0000_s2056" type="#_x0000_t75" style="position:absolute;left:0;text-align:left;margin-left:-56pt;margin-top:-60.05pt;width:612.15pt;height:792.2pt;z-index:-251657729;mso-position-horizontal-relative:margin;mso-position-vertical-relative:margin" o:allowincell="f">
          <v:imagedata r:id="rId1" o:title="informe_Mesa de trabajo 1 copia 3"/>
          <w10:wrap anchorx="margin" anchory="margin"/>
        </v:shape>
      </w:pict>
    </w:r>
    <w:r w:rsidR="00A000BE">
      <w:rPr>
        <w:noProof/>
        <w:lang w:val="es-MX" w:eastAsia="es-MX"/>
      </w:rPr>
      <w:drawing>
        <wp:inline distT="0" distB="0" distL="0" distR="0" wp14:anchorId="67B33FF9" wp14:editId="038E6237">
          <wp:extent cx="6351270" cy="468630"/>
          <wp:effectExtent l="0" t="0" r="0" b="7620"/>
          <wp:docPr id="20926413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51270" cy="46863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2322E4" w14:textId="000BA79E" w:rsidR="00A000BE" w:rsidRDefault="009850F4">
    <w:pPr>
      <w:pStyle w:val="Encabezado"/>
    </w:pPr>
    <w:r>
      <w:rPr>
        <w:noProof/>
      </w:rPr>
      <w:pict w14:anchorId="6845B3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96218" o:spid="_x0000_s2054" type="#_x0000_t75" style="position:absolute;left:0;text-align:left;margin-left:0;margin-top:0;width:612.15pt;height:792.2pt;z-index:-251658240;mso-position-horizontal:center;mso-position-horizontal-relative:margin;mso-position-vertical:center;mso-position-vertical-relative:margin" o:allowincell="f">
          <v:imagedata r:id="rId1" o:title="informe_Mesa de trabajo 1 copia 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D19F5"/>
    <w:multiLevelType w:val="hybridMultilevel"/>
    <w:tmpl w:val="FF06500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D01CB2"/>
    <w:multiLevelType w:val="hybridMultilevel"/>
    <w:tmpl w:val="2426197A"/>
    <w:lvl w:ilvl="0" w:tplc="9F724D40">
      <w:start w:val="1"/>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2" w15:restartNumberingAfterBreak="0">
    <w:nsid w:val="06FC23D6"/>
    <w:multiLevelType w:val="hybridMultilevel"/>
    <w:tmpl w:val="A1C6A578"/>
    <w:lvl w:ilvl="0" w:tplc="95625574">
      <w:start w:val="1"/>
      <w:numFmt w:val="lowerLetter"/>
      <w:lvlText w:val="%1)"/>
      <w:lvlJc w:val="left"/>
      <w:pPr>
        <w:ind w:left="785" w:hanging="360"/>
      </w:pPr>
      <w:rPr>
        <w:rFonts w:hint="default"/>
      </w:rPr>
    </w:lvl>
    <w:lvl w:ilvl="1" w:tplc="080A0019">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3" w15:restartNumberingAfterBreak="0">
    <w:nsid w:val="074643C2"/>
    <w:multiLevelType w:val="multilevel"/>
    <w:tmpl w:val="0C0A0025"/>
    <w:numStyleLink w:val="CtaPub"/>
  </w:abstractNum>
  <w:abstractNum w:abstractNumId="4" w15:restartNumberingAfterBreak="0">
    <w:nsid w:val="0C427977"/>
    <w:multiLevelType w:val="hybridMultilevel"/>
    <w:tmpl w:val="05225CE2"/>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180105A"/>
    <w:multiLevelType w:val="hybridMultilevel"/>
    <w:tmpl w:val="162018A6"/>
    <w:lvl w:ilvl="0" w:tplc="0C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2C5185"/>
    <w:multiLevelType w:val="hybridMultilevel"/>
    <w:tmpl w:val="946A15F0"/>
    <w:lvl w:ilvl="0" w:tplc="DED2B992">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494F3B"/>
    <w:multiLevelType w:val="hybridMultilevel"/>
    <w:tmpl w:val="20D29FE2"/>
    <w:lvl w:ilvl="0" w:tplc="2F9E4E16">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A1D113F"/>
    <w:multiLevelType w:val="hybridMultilevel"/>
    <w:tmpl w:val="A5DC7AA8"/>
    <w:lvl w:ilvl="0" w:tplc="289A2598">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A4C1EB6"/>
    <w:multiLevelType w:val="hybridMultilevel"/>
    <w:tmpl w:val="C59809E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A706DF3"/>
    <w:multiLevelType w:val="hybridMultilevel"/>
    <w:tmpl w:val="BFCA3A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EA313EF"/>
    <w:multiLevelType w:val="hybridMultilevel"/>
    <w:tmpl w:val="A126AF02"/>
    <w:lvl w:ilvl="0" w:tplc="8D6035FE">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1184B39"/>
    <w:multiLevelType w:val="hybridMultilevel"/>
    <w:tmpl w:val="FD1228EC"/>
    <w:lvl w:ilvl="0" w:tplc="080A000B">
      <w:start w:val="1"/>
      <w:numFmt w:val="bullet"/>
      <w:lvlText w:val=""/>
      <w:lvlJc w:val="left"/>
      <w:pPr>
        <w:ind w:left="1854" w:hanging="360"/>
      </w:pPr>
      <w:rPr>
        <w:rFonts w:ascii="Wingdings" w:hAnsi="Wingdings"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13" w15:restartNumberingAfterBreak="0">
    <w:nsid w:val="24632CE1"/>
    <w:multiLevelType w:val="hybridMultilevel"/>
    <w:tmpl w:val="DDAA503C"/>
    <w:lvl w:ilvl="0" w:tplc="080A000B">
      <w:start w:val="1"/>
      <w:numFmt w:val="bullet"/>
      <w:lvlText w:val=""/>
      <w:lvlJc w:val="left"/>
      <w:pPr>
        <w:ind w:left="1147" w:hanging="360"/>
      </w:pPr>
      <w:rPr>
        <w:rFonts w:ascii="Wingdings" w:hAnsi="Wingdings" w:hint="default"/>
      </w:rPr>
    </w:lvl>
    <w:lvl w:ilvl="1" w:tplc="080A0003" w:tentative="1">
      <w:start w:val="1"/>
      <w:numFmt w:val="bullet"/>
      <w:lvlText w:val="o"/>
      <w:lvlJc w:val="left"/>
      <w:pPr>
        <w:ind w:left="1867" w:hanging="360"/>
      </w:pPr>
      <w:rPr>
        <w:rFonts w:ascii="Courier New" w:hAnsi="Courier New" w:cs="Courier New" w:hint="default"/>
      </w:rPr>
    </w:lvl>
    <w:lvl w:ilvl="2" w:tplc="080A0005" w:tentative="1">
      <w:start w:val="1"/>
      <w:numFmt w:val="bullet"/>
      <w:lvlText w:val=""/>
      <w:lvlJc w:val="left"/>
      <w:pPr>
        <w:ind w:left="2587" w:hanging="360"/>
      </w:pPr>
      <w:rPr>
        <w:rFonts w:ascii="Wingdings" w:hAnsi="Wingdings" w:hint="default"/>
      </w:rPr>
    </w:lvl>
    <w:lvl w:ilvl="3" w:tplc="080A0001" w:tentative="1">
      <w:start w:val="1"/>
      <w:numFmt w:val="bullet"/>
      <w:lvlText w:val=""/>
      <w:lvlJc w:val="left"/>
      <w:pPr>
        <w:ind w:left="3307" w:hanging="360"/>
      </w:pPr>
      <w:rPr>
        <w:rFonts w:ascii="Symbol" w:hAnsi="Symbol" w:hint="default"/>
      </w:rPr>
    </w:lvl>
    <w:lvl w:ilvl="4" w:tplc="080A0003" w:tentative="1">
      <w:start w:val="1"/>
      <w:numFmt w:val="bullet"/>
      <w:lvlText w:val="o"/>
      <w:lvlJc w:val="left"/>
      <w:pPr>
        <w:ind w:left="4027" w:hanging="360"/>
      </w:pPr>
      <w:rPr>
        <w:rFonts w:ascii="Courier New" w:hAnsi="Courier New" w:cs="Courier New" w:hint="default"/>
      </w:rPr>
    </w:lvl>
    <w:lvl w:ilvl="5" w:tplc="080A0005" w:tentative="1">
      <w:start w:val="1"/>
      <w:numFmt w:val="bullet"/>
      <w:lvlText w:val=""/>
      <w:lvlJc w:val="left"/>
      <w:pPr>
        <w:ind w:left="4747" w:hanging="360"/>
      </w:pPr>
      <w:rPr>
        <w:rFonts w:ascii="Wingdings" w:hAnsi="Wingdings" w:hint="default"/>
      </w:rPr>
    </w:lvl>
    <w:lvl w:ilvl="6" w:tplc="080A0001" w:tentative="1">
      <w:start w:val="1"/>
      <w:numFmt w:val="bullet"/>
      <w:lvlText w:val=""/>
      <w:lvlJc w:val="left"/>
      <w:pPr>
        <w:ind w:left="5467" w:hanging="360"/>
      </w:pPr>
      <w:rPr>
        <w:rFonts w:ascii="Symbol" w:hAnsi="Symbol" w:hint="default"/>
      </w:rPr>
    </w:lvl>
    <w:lvl w:ilvl="7" w:tplc="080A0003" w:tentative="1">
      <w:start w:val="1"/>
      <w:numFmt w:val="bullet"/>
      <w:lvlText w:val="o"/>
      <w:lvlJc w:val="left"/>
      <w:pPr>
        <w:ind w:left="6187" w:hanging="360"/>
      </w:pPr>
      <w:rPr>
        <w:rFonts w:ascii="Courier New" w:hAnsi="Courier New" w:cs="Courier New" w:hint="default"/>
      </w:rPr>
    </w:lvl>
    <w:lvl w:ilvl="8" w:tplc="080A0005" w:tentative="1">
      <w:start w:val="1"/>
      <w:numFmt w:val="bullet"/>
      <w:lvlText w:val=""/>
      <w:lvlJc w:val="left"/>
      <w:pPr>
        <w:ind w:left="6907" w:hanging="360"/>
      </w:pPr>
      <w:rPr>
        <w:rFonts w:ascii="Wingdings" w:hAnsi="Wingdings" w:hint="default"/>
      </w:rPr>
    </w:lvl>
  </w:abstractNum>
  <w:abstractNum w:abstractNumId="14" w15:restartNumberingAfterBreak="0">
    <w:nsid w:val="30A44453"/>
    <w:multiLevelType w:val="hybridMultilevel"/>
    <w:tmpl w:val="589857AE"/>
    <w:lvl w:ilvl="0" w:tplc="98185946">
      <w:start w:val="2"/>
      <w:numFmt w:val="bullet"/>
      <w:lvlText w:val="-"/>
      <w:lvlJc w:val="left"/>
      <w:pPr>
        <w:ind w:left="720" w:hanging="360"/>
      </w:pPr>
      <w:rPr>
        <w:rFonts w:ascii="GalanoGrotesque-Light" w:eastAsia="Calibri" w:hAnsi="GalanoGrotesque-Ligh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4142A8D"/>
    <w:multiLevelType w:val="hybridMultilevel"/>
    <w:tmpl w:val="BABC6506"/>
    <w:lvl w:ilvl="0" w:tplc="A2B47C0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94342E9"/>
    <w:multiLevelType w:val="hybridMultilevel"/>
    <w:tmpl w:val="C268C124"/>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7" w15:restartNumberingAfterBreak="0">
    <w:nsid w:val="4D404667"/>
    <w:multiLevelType w:val="hybridMultilevel"/>
    <w:tmpl w:val="5A8C3A68"/>
    <w:lvl w:ilvl="0" w:tplc="080A0009">
      <w:start w:val="1"/>
      <w:numFmt w:val="bullet"/>
      <w:lvlText w:val=""/>
      <w:lvlJc w:val="left"/>
      <w:pPr>
        <w:ind w:left="786" w:hanging="360"/>
      </w:pPr>
      <w:rPr>
        <w:rFonts w:ascii="Wingdings" w:hAnsi="Wingdings" w:hint="default"/>
      </w:rPr>
    </w:lvl>
    <w:lvl w:ilvl="1" w:tplc="080A0003">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8" w15:restartNumberingAfterBreak="0">
    <w:nsid w:val="4FA1118F"/>
    <w:multiLevelType w:val="hybridMultilevel"/>
    <w:tmpl w:val="C81EE39C"/>
    <w:lvl w:ilvl="0" w:tplc="871E01E2">
      <w:start w:val="1"/>
      <w:numFmt w:val="bullet"/>
      <w:lvlText w:val=""/>
      <w:lvlJc w:val="left"/>
      <w:pPr>
        <w:ind w:left="720"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4B85A2B"/>
    <w:multiLevelType w:val="hybridMultilevel"/>
    <w:tmpl w:val="BA2CBEA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E0406D3"/>
    <w:multiLevelType w:val="hybridMultilevel"/>
    <w:tmpl w:val="0AB2891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FE637B7"/>
    <w:multiLevelType w:val="hybridMultilevel"/>
    <w:tmpl w:val="20D29FE2"/>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56230EE"/>
    <w:multiLevelType w:val="multilevel"/>
    <w:tmpl w:val="080A001F"/>
    <w:styleLink w:val="Estilo1"/>
    <w:lvl w:ilvl="0">
      <w:start w:val="1"/>
      <w:numFmt w:val="upperRoman"/>
      <w:lvlText w:val="%1."/>
      <w:lvlJc w:val="left"/>
      <w:pPr>
        <w:ind w:left="360" w:hanging="360"/>
      </w:pPr>
    </w:lvl>
    <w:lvl w:ilvl="1">
      <w:start w:val="1"/>
      <w:numFmt w:val="decimal"/>
      <w:lvlText w:val="%1.%2."/>
      <w:lvlJc w:val="left"/>
      <w:pPr>
        <w:ind w:left="792" w:hanging="432"/>
      </w:pPr>
    </w:lvl>
    <w:lvl w:ilvl="2">
      <w:start w:val="1"/>
      <w:numFmt w:val="lowerLetter"/>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80B4058"/>
    <w:multiLevelType w:val="hybridMultilevel"/>
    <w:tmpl w:val="2C1A3E5A"/>
    <w:lvl w:ilvl="0" w:tplc="80641B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3F128C1"/>
    <w:multiLevelType w:val="hybridMultilevel"/>
    <w:tmpl w:val="605E774A"/>
    <w:lvl w:ilvl="0" w:tplc="89A8797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5242C09"/>
    <w:multiLevelType w:val="multilevel"/>
    <w:tmpl w:val="0C0A0025"/>
    <w:styleLink w:val="CtaPub"/>
    <w:lvl w:ilvl="0">
      <w:start w:val="1"/>
      <w:numFmt w:val="upperRoman"/>
      <w:lvlText w:val="%1"/>
      <w:lvlJc w:val="left"/>
      <w:pPr>
        <w:ind w:left="432" w:hanging="432"/>
      </w:pPr>
      <w:rPr>
        <w:rFonts w:ascii="GalanoGrotesque-Bold" w:hAnsi="GalanoGrotesque-Bold"/>
        <w:b/>
        <w:color w:val="auto"/>
        <w:sz w:val="40"/>
      </w:rPr>
    </w:lvl>
    <w:lvl w:ilvl="1">
      <w:start w:val="1"/>
      <w:numFmt w:val="decimal"/>
      <w:lvlText w:val="%1.%2"/>
      <w:lvlJc w:val="left"/>
      <w:pPr>
        <w:ind w:left="576" w:hanging="576"/>
      </w:pPr>
      <w:rPr>
        <w:rFonts w:ascii="GalanoGrotesque-Bold" w:hAnsi="GalanoGrotesque-Bold"/>
        <w:b/>
        <w:color w:val="auto"/>
        <w:sz w:val="32"/>
      </w:rPr>
    </w:lvl>
    <w:lvl w:ilvl="2">
      <w:start w:val="1"/>
      <w:numFmt w:val="lowerLetter"/>
      <w:lvlText w:val="%1.%2.%3"/>
      <w:lvlJc w:val="left"/>
      <w:pPr>
        <w:ind w:left="720" w:hanging="720"/>
      </w:pPr>
      <w:rPr>
        <w:rFonts w:ascii="GalanoGrotesque-Bold" w:hAnsi="GalanoGrotesque-Bold"/>
        <w:b/>
        <w:sz w:val="2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753E0E7F"/>
    <w:multiLevelType w:val="hybridMultilevel"/>
    <w:tmpl w:val="9DDEE0C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5"/>
  </w:num>
  <w:num w:numId="2">
    <w:abstractNumId w:val="16"/>
  </w:num>
  <w:num w:numId="3">
    <w:abstractNumId w:val="13"/>
  </w:num>
  <w:num w:numId="4">
    <w:abstractNumId w:val="22"/>
  </w:num>
  <w:num w:numId="5">
    <w:abstractNumId w:val="20"/>
  </w:num>
  <w:num w:numId="6">
    <w:abstractNumId w:val="18"/>
  </w:num>
  <w:num w:numId="7">
    <w:abstractNumId w:val="12"/>
  </w:num>
  <w:num w:numId="8">
    <w:abstractNumId w:val="17"/>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lvl w:ilvl="0">
        <w:start w:val="1"/>
        <w:numFmt w:val="decimal"/>
        <w:lvlText w:val=""/>
        <w:lvlJc w:val="left"/>
        <w:pPr>
          <w:ind w:left="0" w:firstLine="0"/>
        </w:pPr>
        <w:rPr>
          <w:rFonts w:ascii="GalanoGrotesque-Bold" w:hAnsi="GalanoGrotesque-Bold"/>
          <w:b/>
          <w:color w:val="auto"/>
          <w:sz w:val="40"/>
        </w:rPr>
      </w:lvl>
    </w:lvlOverride>
    <w:lvlOverride w:ilvl="1">
      <w:lvl w:ilvl="1">
        <w:start w:val="1"/>
        <w:numFmt w:val="decimal"/>
        <w:lvlText w:val=""/>
        <w:lvlJc w:val="left"/>
        <w:pPr>
          <w:ind w:left="0" w:firstLine="0"/>
        </w:pPr>
        <w:rPr>
          <w:rFonts w:ascii="GalanoGrotesque-Bold" w:hAnsi="GalanoGrotesque-Bold"/>
          <w:b/>
          <w:color w:val="auto"/>
          <w:sz w:val="32"/>
        </w:rPr>
      </w:lvl>
    </w:lvlOverride>
    <w:lvlOverride w:ilvl="2">
      <w:lvl w:ilvl="2">
        <w:start w:val="1"/>
        <w:numFmt w:val="decimal"/>
        <w:lvlText w:val="%1.%2.%3"/>
        <w:lvlJc w:val="left"/>
        <w:pPr>
          <w:ind w:left="862" w:hanging="720"/>
        </w:pPr>
        <w:rPr>
          <w:rFonts w:ascii="GalanoGrotesque-Bold" w:hAnsi="GalanoGrotesque-Bold"/>
          <w:b/>
          <w:sz w:val="36"/>
        </w:rPr>
      </w:lvl>
    </w:lvlOverride>
    <w:lvlOverride w:ilvl="3">
      <w:lvl w:ilvl="3">
        <w:start w:val="1"/>
        <w:numFmt w:val="decimal"/>
        <w:lvlText w:val=""/>
        <w:lvlJc w:val="left"/>
        <w:pPr>
          <w:ind w:left="0" w:firstLine="0"/>
        </w:pPr>
      </w:lvl>
    </w:lvlOverride>
    <w:lvlOverride w:ilvl="4">
      <w:lvl w:ilvl="4">
        <w:start w:val="1"/>
        <w:numFmt w:val="decimal"/>
        <w:lvlText w:val=""/>
        <w:lvlJc w:val="left"/>
        <w:pPr>
          <w:ind w:left="0" w:firstLine="0"/>
        </w:pPr>
      </w:lvl>
    </w:lvlOverride>
    <w:lvlOverride w:ilvl="5">
      <w:lvl w:ilvl="5">
        <w:start w:val="1"/>
        <w:numFmt w:val="decimal"/>
        <w:lvlText w:val=""/>
        <w:lvlJc w:val="left"/>
        <w:pPr>
          <w:ind w:left="0" w:firstLine="0"/>
        </w:pPr>
      </w:lvl>
    </w:lvlOverride>
    <w:lvlOverride w:ilvl="6">
      <w:lvl w:ilvl="6">
        <w:start w:val="1"/>
        <w:numFmt w:val="decimal"/>
        <w:lvlText w:val=""/>
        <w:lvlJc w:val="left"/>
        <w:pPr>
          <w:ind w:left="0" w:firstLine="0"/>
        </w:pPr>
      </w:lvl>
    </w:lvlOverride>
    <w:lvlOverride w:ilvl="7">
      <w:lvl w:ilvl="7">
        <w:start w:val="1"/>
        <w:numFmt w:val="decimal"/>
        <w:lvlText w:val=""/>
        <w:lvlJc w:val="left"/>
        <w:pPr>
          <w:ind w:left="0" w:firstLine="0"/>
        </w:pPr>
      </w:lvl>
    </w:lvlOverride>
    <w:lvlOverride w:ilvl="8">
      <w:lvl w:ilvl="8">
        <w:start w:val="1"/>
        <w:numFmt w:val="decimal"/>
        <w:lvlText w:val=""/>
        <w:lvlJc w:val="left"/>
        <w:pPr>
          <w:ind w:left="0" w:firstLine="0"/>
        </w:pPr>
      </w:lvl>
    </w:lvlOverride>
  </w:num>
  <w:num w:numId="11">
    <w:abstractNumId w:val="10"/>
  </w:num>
  <w:num w:numId="12">
    <w:abstractNumId w:val="1"/>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7"/>
  </w:num>
  <w:num w:numId="16">
    <w:abstractNumId w:val="21"/>
  </w:num>
  <w:num w:numId="17">
    <w:abstractNumId w:val="3"/>
    <w:lvlOverride w:ilvl="0">
      <w:lvl w:ilvl="0">
        <w:start w:val="1"/>
        <w:numFmt w:val="decimal"/>
        <w:lvlText w:val=""/>
        <w:lvlJc w:val="left"/>
        <w:pPr>
          <w:ind w:left="0" w:firstLine="0"/>
        </w:pPr>
        <w:rPr>
          <w:rFonts w:ascii="GalanoGrotesque-Bold" w:hAnsi="GalanoGrotesque-Bold"/>
          <w:b/>
          <w:color w:val="auto"/>
          <w:sz w:val="40"/>
        </w:rPr>
      </w:lvl>
    </w:lvlOverride>
    <w:lvlOverride w:ilvl="1">
      <w:lvl w:ilvl="1">
        <w:start w:val="1"/>
        <w:numFmt w:val="decimal"/>
        <w:lvlText w:val=""/>
        <w:lvlJc w:val="left"/>
        <w:pPr>
          <w:ind w:left="0" w:firstLine="0"/>
        </w:pPr>
        <w:rPr>
          <w:rFonts w:ascii="GalanoGrotesque-Bold" w:hAnsi="GalanoGrotesque-Bold"/>
          <w:b/>
          <w:color w:val="auto"/>
          <w:sz w:val="32"/>
        </w:rPr>
      </w:lvl>
    </w:lvlOverride>
    <w:lvlOverride w:ilvl="2">
      <w:lvl w:ilvl="2">
        <w:start w:val="1"/>
        <w:numFmt w:val="decimal"/>
        <w:lvlText w:val="%1.%2.%3"/>
        <w:lvlJc w:val="left"/>
        <w:pPr>
          <w:ind w:left="862" w:hanging="720"/>
        </w:pPr>
        <w:rPr>
          <w:rFonts w:ascii="GalanoGrotesque-Bold" w:hAnsi="GalanoGrotesque-Bold"/>
          <w:b/>
          <w:sz w:val="36"/>
        </w:rPr>
      </w:lvl>
    </w:lvlOverride>
    <w:lvlOverride w:ilvl="3">
      <w:lvl w:ilvl="3">
        <w:start w:val="1"/>
        <w:numFmt w:val="decimal"/>
        <w:lvlText w:val=""/>
        <w:lvlJc w:val="left"/>
        <w:pPr>
          <w:ind w:left="0" w:firstLine="0"/>
        </w:pPr>
      </w:lvl>
    </w:lvlOverride>
    <w:lvlOverride w:ilvl="4">
      <w:lvl w:ilvl="4">
        <w:start w:val="1"/>
        <w:numFmt w:val="decimal"/>
        <w:lvlText w:val=""/>
        <w:lvlJc w:val="left"/>
        <w:pPr>
          <w:ind w:left="0" w:firstLine="0"/>
        </w:pPr>
      </w:lvl>
    </w:lvlOverride>
    <w:lvlOverride w:ilvl="5">
      <w:lvl w:ilvl="5">
        <w:start w:val="1"/>
        <w:numFmt w:val="decimal"/>
        <w:lvlText w:val=""/>
        <w:lvlJc w:val="left"/>
        <w:pPr>
          <w:ind w:left="0" w:firstLine="0"/>
        </w:pPr>
      </w:lvl>
    </w:lvlOverride>
    <w:lvlOverride w:ilvl="6">
      <w:lvl w:ilvl="6">
        <w:start w:val="1"/>
        <w:numFmt w:val="decimal"/>
        <w:lvlText w:val=""/>
        <w:lvlJc w:val="left"/>
        <w:pPr>
          <w:ind w:left="0" w:firstLine="0"/>
        </w:pPr>
      </w:lvl>
    </w:lvlOverride>
    <w:lvlOverride w:ilvl="7">
      <w:lvl w:ilvl="7">
        <w:start w:val="1"/>
        <w:numFmt w:val="decimal"/>
        <w:lvlText w:val=""/>
        <w:lvlJc w:val="left"/>
        <w:pPr>
          <w:ind w:left="0" w:firstLine="0"/>
        </w:pPr>
      </w:lvl>
    </w:lvlOverride>
    <w:lvlOverride w:ilvl="8">
      <w:lvl w:ilvl="8">
        <w:start w:val="1"/>
        <w:numFmt w:val="decimal"/>
        <w:lvlText w:val=""/>
        <w:lvlJc w:val="left"/>
        <w:pPr>
          <w:ind w:left="0" w:firstLine="0"/>
        </w:pPr>
      </w:lvl>
    </w:lvlOverride>
  </w:num>
  <w:num w:numId="18">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1"/>
  </w:num>
  <w:num w:numId="23">
    <w:abstractNumId w:val="2"/>
  </w:num>
  <w:num w:numId="24">
    <w:abstractNumId w:val="19"/>
  </w:num>
  <w:num w:numId="25">
    <w:abstractNumId w:val="8"/>
  </w:num>
  <w:num w:numId="26">
    <w:abstractNumId w:val="9"/>
  </w:num>
  <w:num w:numId="27">
    <w:abstractNumId w:val="26"/>
  </w:num>
  <w:num w:numId="28">
    <w:abstractNumId w:val="6"/>
  </w:num>
  <w:num w:numId="29">
    <w:abstractNumId w:val="0"/>
  </w:num>
  <w:num w:numId="30">
    <w:abstractNumId w:val="24"/>
  </w:num>
  <w:num w:numId="31">
    <w:abstractNumId w:val="15"/>
  </w:num>
  <w:num w:numId="32">
    <w:abstractNumId w:val="2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5067"/>
    <w:rsid w:val="0000054C"/>
    <w:rsid w:val="0000073A"/>
    <w:rsid w:val="000007D8"/>
    <w:rsid w:val="00000D3A"/>
    <w:rsid w:val="00001357"/>
    <w:rsid w:val="00002197"/>
    <w:rsid w:val="00002310"/>
    <w:rsid w:val="00002531"/>
    <w:rsid w:val="0000295A"/>
    <w:rsid w:val="00002B97"/>
    <w:rsid w:val="00002D2B"/>
    <w:rsid w:val="00002E3C"/>
    <w:rsid w:val="00002F02"/>
    <w:rsid w:val="00003150"/>
    <w:rsid w:val="000033B5"/>
    <w:rsid w:val="00003F5B"/>
    <w:rsid w:val="00003FC8"/>
    <w:rsid w:val="0000466C"/>
    <w:rsid w:val="000053CE"/>
    <w:rsid w:val="00005551"/>
    <w:rsid w:val="00005A3F"/>
    <w:rsid w:val="00005C0C"/>
    <w:rsid w:val="00005C45"/>
    <w:rsid w:val="00006099"/>
    <w:rsid w:val="00006391"/>
    <w:rsid w:val="00006536"/>
    <w:rsid w:val="0000668D"/>
    <w:rsid w:val="00006720"/>
    <w:rsid w:val="0000688D"/>
    <w:rsid w:val="00006A48"/>
    <w:rsid w:val="00006B0D"/>
    <w:rsid w:val="00007DB8"/>
    <w:rsid w:val="0001016D"/>
    <w:rsid w:val="00010225"/>
    <w:rsid w:val="00010367"/>
    <w:rsid w:val="00011637"/>
    <w:rsid w:val="000117B9"/>
    <w:rsid w:val="00011977"/>
    <w:rsid w:val="00012109"/>
    <w:rsid w:val="00012BA1"/>
    <w:rsid w:val="00012FD0"/>
    <w:rsid w:val="00013D40"/>
    <w:rsid w:val="00013E5A"/>
    <w:rsid w:val="000141CA"/>
    <w:rsid w:val="00014774"/>
    <w:rsid w:val="0001593B"/>
    <w:rsid w:val="00015B7D"/>
    <w:rsid w:val="00015BE5"/>
    <w:rsid w:val="00015D9A"/>
    <w:rsid w:val="00016067"/>
    <w:rsid w:val="000165DF"/>
    <w:rsid w:val="0001665D"/>
    <w:rsid w:val="00016B9D"/>
    <w:rsid w:val="00017498"/>
    <w:rsid w:val="00017550"/>
    <w:rsid w:val="00017656"/>
    <w:rsid w:val="000177F6"/>
    <w:rsid w:val="00017966"/>
    <w:rsid w:val="00017E5A"/>
    <w:rsid w:val="00020319"/>
    <w:rsid w:val="00020430"/>
    <w:rsid w:val="0002085A"/>
    <w:rsid w:val="000209E2"/>
    <w:rsid w:val="00020FED"/>
    <w:rsid w:val="000212DE"/>
    <w:rsid w:val="000221EF"/>
    <w:rsid w:val="0002265F"/>
    <w:rsid w:val="00022DDE"/>
    <w:rsid w:val="000236CD"/>
    <w:rsid w:val="000238BB"/>
    <w:rsid w:val="00024019"/>
    <w:rsid w:val="000242FA"/>
    <w:rsid w:val="000247E9"/>
    <w:rsid w:val="00024B0F"/>
    <w:rsid w:val="00024C43"/>
    <w:rsid w:val="00024E79"/>
    <w:rsid w:val="0002544E"/>
    <w:rsid w:val="000254B2"/>
    <w:rsid w:val="000257C6"/>
    <w:rsid w:val="00025ACE"/>
    <w:rsid w:val="0002619E"/>
    <w:rsid w:val="0002638C"/>
    <w:rsid w:val="00026579"/>
    <w:rsid w:val="000269B1"/>
    <w:rsid w:val="00026DC3"/>
    <w:rsid w:val="00026FA4"/>
    <w:rsid w:val="000274A2"/>
    <w:rsid w:val="00027A2D"/>
    <w:rsid w:val="00027B48"/>
    <w:rsid w:val="00027C33"/>
    <w:rsid w:val="00030658"/>
    <w:rsid w:val="00030E68"/>
    <w:rsid w:val="0003128F"/>
    <w:rsid w:val="00031604"/>
    <w:rsid w:val="00031AFE"/>
    <w:rsid w:val="0003203D"/>
    <w:rsid w:val="0003230B"/>
    <w:rsid w:val="00032DC5"/>
    <w:rsid w:val="00033035"/>
    <w:rsid w:val="0003320E"/>
    <w:rsid w:val="0003323F"/>
    <w:rsid w:val="00033A98"/>
    <w:rsid w:val="00033D69"/>
    <w:rsid w:val="000350B3"/>
    <w:rsid w:val="00035AAC"/>
    <w:rsid w:val="00035BEC"/>
    <w:rsid w:val="00035F52"/>
    <w:rsid w:val="00036188"/>
    <w:rsid w:val="000364B2"/>
    <w:rsid w:val="00036DFB"/>
    <w:rsid w:val="00036E21"/>
    <w:rsid w:val="00036F97"/>
    <w:rsid w:val="0003700F"/>
    <w:rsid w:val="0003765E"/>
    <w:rsid w:val="00037B5C"/>
    <w:rsid w:val="0004012D"/>
    <w:rsid w:val="0004014C"/>
    <w:rsid w:val="000405D9"/>
    <w:rsid w:val="000410F4"/>
    <w:rsid w:val="00041126"/>
    <w:rsid w:val="00041204"/>
    <w:rsid w:val="00041C12"/>
    <w:rsid w:val="000420E8"/>
    <w:rsid w:val="000422D1"/>
    <w:rsid w:val="000425FC"/>
    <w:rsid w:val="00042954"/>
    <w:rsid w:val="00043079"/>
    <w:rsid w:val="00043490"/>
    <w:rsid w:val="00043B9A"/>
    <w:rsid w:val="000445D7"/>
    <w:rsid w:val="0004470E"/>
    <w:rsid w:val="000448CE"/>
    <w:rsid w:val="00044945"/>
    <w:rsid w:val="000455C8"/>
    <w:rsid w:val="00045BBA"/>
    <w:rsid w:val="00045C18"/>
    <w:rsid w:val="00045CD9"/>
    <w:rsid w:val="00046672"/>
    <w:rsid w:val="00046EE3"/>
    <w:rsid w:val="00046EEB"/>
    <w:rsid w:val="00047165"/>
    <w:rsid w:val="000472AB"/>
    <w:rsid w:val="0004757F"/>
    <w:rsid w:val="00047B61"/>
    <w:rsid w:val="00050A2F"/>
    <w:rsid w:val="000513E6"/>
    <w:rsid w:val="00051ADB"/>
    <w:rsid w:val="00052167"/>
    <w:rsid w:val="00052291"/>
    <w:rsid w:val="000523EC"/>
    <w:rsid w:val="000524BD"/>
    <w:rsid w:val="00052929"/>
    <w:rsid w:val="00052C7A"/>
    <w:rsid w:val="00053575"/>
    <w:rsid w:val="000537A5"/>
    <w:rsid w:val="0005381D"/>
    <w:rsid w:val="00053D28"/>
    <w:rsid w:val="00053F11"/>
    <w:rsid w:val="000541BF"/>
    <w:rsid w:val="0005430D"/>
    <w:rsid w:val="0005448E"/>
    <w:rsid w:val="00054492"/>
    <w:rsid w:val="0005479C"/>
    <w:rsid w:val="00054999"/>
    <w:rsid w:val="00054F35"/>
    <w:rsid w:val="00055CD3"/>
    <w:rsid w:val="00055F47"/>
    <w:rsid w:val="0005617C"/>
    <w:rsid w:val="000561FC"/>
    <w:rsid w:val="0005693D"/>
    <w:rsid w:val="00056C4D"/>
    <w:rsid w:val="0005716E"/>
    <w:rsid w:val="00057D7B"/>
    <w:rsid w:val="00057F1F"/>
    <w:rsid w:val="0006024E"/>
    <w:rsid w:val="00060BC8"/>
    <w:rsid w:val="00060F2B"/>
    <w:rsid w:val="00060F63"/>
    <w:rsid w:val="0006125A"/>
    <w:rsid w:val="00061368"/>
    <w:rsid w:val="00062698"/>
    <w:rsid w:val="000626E8"/>
    <w:rsid w:val="00062708"/>
    <w:rsid w:val="000627B2"/>
    <w:rsid w:val="00062839"/>
    <w:rsid w:val="00062BE1"/>
    <w:rsid w:val="00062C36"/>
    <w:rsid w:val="00063972"/>
    <w:rsid w:val="00063BE9"/>
    <w:rsid w:val="00064F15"/>
    <w:rsid w:val="00064F91"/>
    <w:rsid w:val="000651A0"/>
    <w:rsid w:val="00065383"/>
    <w:rsid w:val="00065A97"/>
    <w:rsid w:val="00065AAB"/>
    <w:rsid w:val="00065B67"/>
    <w:rsid w:val="00065CC6"/>
    <w:rsid w:val="00065D97"/>
    <w:rsid w:val="00066479"/>
    <w:rsid w:val="000669D5"/>
    <w:rsid w:val="000674F4"/>
    <w:rsid w:val="00067A31"/>
    <w:rsid w:val="0007008B"/>
    <w:rsid w:val="000706B8"/>
    <w:rsid w:val="00071170"/>
    <w:rsid w:val="000714BC"/>
    <w:rsid w:val="00071620"/>
    <w:rsid w:val="000718B5"/>
    <w:rsid w:val="0007194A"/>
    <w:rsid w:val="00071AFA"/>
    <w:rsid w:val="00071C7D"/>
    <w:rsid w:val="00071E67"/>
    <w:rsid w:val="0007278D"/>
    <w:rsid w:val="00072B36"/>
    <w:rsid w:val="00072C3D"/>
    <w:rsid w:val="00072C97"/>
    <w:rsid w:val="00072CA6"/>
    <w:rsid w:val="00072F50"/>
    <w:rsid w:val="000730C3"/>
    <w:rsid w:val="00073657"/>
    <w:rsid w:val="000736C6"/>
    <w:rsid w:val="00073D54"/>
    <w:rsid w:val="00073D87"/>
    <w:rsid w:val="0007415C"/>
    <w:rsid w:val="00075235"/>
    <w:rsid w:val="00075744"/>
    <w:rsid w:val="00075769"/>
    <w:rsid w:val="00075C62"/>
    <w:rsid w:val="00075CF0"/>
    <w:rsid w:val="00075D38"/>
    <w:rsid w:val="00075E98"/>
    <w:rsid w:val="00075FCD"/>
    <w:rsid w:val="00076CBC"/>
    <w:rsid w:val="00077963"/>
    <w:rsid w:val="00080263"/>
    <w:rsid w:val="000804AE"/>
    <w:rsid w:val="000805E3"/>
    <w:rsid w:val="00080AD1"/>
    <w:rsid w:val="00080C11"/>
    <w:rsid w:val="00081B35"/>
    <w:rsid w:val="00081B37"/>
    <w:rsid w:val="00081C2E"/>
    <w:rsid w:val="0008203D"/>
    <w:rsid w:val="00082373"/>
    <w:rsid w:val="00082A40"/>
    <w:rsid w:val="00082CFE"/>
    <w:rsid w:val="000837C1"/>
    <w:rsid w:val="00083958"/>
    <w:rsid w:val="00083E34"/>
    <w:rsid w:val="000841CF"/>
    <w:rsid w:val="000846AA"/>
    <w:rsid w:val="00084ECF"/>
    <w:rsid w:val="00085A27"/>
    <w:rsid w:val="00085FD2"/>
    <w:rsid w:val="00086873"/>
    <w:rsid w:val="00086C8D"/>
    <w:rsid w:val="00086FE8"/>
    <w:rsid w:val="00087647"/>
    <w:rsid w:val="0008796F"/>
    <w:rsid w:val="000879D9"/>
    <w:rsid w:val="00087AB1"/>
    <w:rsid w:val="00087E9C"/>
    <w:rsid w:val="00090022"/>
    <w:rsid w:val="000906E0"/>
    <w:rsid w:val="0009078F"/>
    <w:rsid w:val="00090BDA"/>
    <w:rsid w:val="00090D02"/>
    <w:rsid w:val="00090D6A"/>
    <w:rsid w:val="00091349"/>
    <w:rsid w:val="000926B8"/>
    <w:rsid w:val="0009282C"/>
    <w:rsid w:val="00093389"/>
    <w:rsid w:val="00093A2E"/>
    <w:rsid w:val="00094892"/>
    <w:rsid w:val="00094A75"/>
    <w:rsid w:val="000952DC"/>
    <w:rsid w:val="00096C5C"/>
    <w:rsid w:val="00097081"/>
    <w:rsid w:val="000A09FC"/>
    <w:rsid w:val="000A0BAF"/>
    <w:rsid w:val="000A1123"/>
    <w:rsid w:val="000A14E5"/>
    <w:rsid w:val="000A1868"/>
    <w:rsid w:val="000A1A9D"/>
    <w:rsid w:val="000A1E23"/>
    <w:rsid w:val="000A238C"/>
    <w:rsid w:val="000A2598"/>
    <w:rsid w:val="000A2D5A"/>
    <w:rsid w:val="000A2E27"/>
    <w:rsid w:val="000A322E"/>
    <w:rsid w:val="000A3541"/>
    <w:rsid w:val="000A37C4"/>
    <w:rsid w:val="000A3B87"/>
    <w:rsid w:val="000A3FC5"/>
    <w:rsid w:val="000A405F"/>
    <w:rsid w:val="000A450A"/>
    <w:rsid w:val="000A470F"/>
    <w:rsid w:val="000A4AC3"/>
    <w:rsid w:val="000A509B"/>
    <w:rsid w:val="000A52D7"/>
    <w:rsid w:val="000A5780"/>
    <w:rsid w:val="000A581C"/>
    <w:rsid w:val="000A59BF"/>
    <w:rsid w:val="000A63F5"/>
    <w:rsid w:val="000A661F"/>
    <w:rsid w:val="000A66DF"/>
    <w:rsid w:val="000A6AEC"/>
    <w:rsid w:val="000A7094"/>
    <w:rsid w:val="000A7128"/>
    <w:rsid w:val="000B0B60"/>
    <w:rsid w:val="000B0BD2"/>
    <w:rsid w:val="000B18BD"/>
    <w:rsid w:val="000B1995"/>
    <w:rsid w:val="000B1B9D"/>
    <w:rsid w:val="000B1BE5"/>
    <w:rsid w:val="000B25C6"/>
    <w:rsid w:val="000B2832"/>
    <w:rsid w:val="000B2DC3"/>
    <w:rsid w:val="000B37E2"/>
    <w:rsid w:val="000B3D63"/>
    <w:rsid w:val="000B415A"/>
    <w:rsid w:val="000B47CE"/>
    <w:rsid w:val="000B4852"/>
    <w:rsid w:val="000B499E"/>
    <w:rsid w:val="000B4DA3"/>
    <w:rsid w:val="000B51F5"/>
    <w:rsid w:val="000B5408"/>
    <w:rsid w:val="000B54BB"/>
    <w:rsid w:val="000B595B"/>
    <w:rsid w:val="000B5A73"/>
    <w:rsid w:val="000B5B3E"/>
    <w:rsid w:val="000B5C68"/>
    <w:rsid w:val="000B6E89"/>
    <w:rsid w:val="000B6F98"/>
    <w:rsid w:val="000B7007"/>
    <w:rsid w:val="000B7140"/>
    <w:rsid w:val="000B719B"/>
    <w:rsid w:val="000B720E"/>
    <w:rsid w:val="000C0452"/>
    <w:rsid w:val="000C0588"/>
    <w:rsid w:val="000C0827"/>
    <w:rsid w:val="000C11BD"/>
    <w:rsid w:val="000C14EE"/>
    <w:rsid w:val="000C16C6"/>
    <w:rsid w:val="000C1B09"/>
    <w:rsid w:val="000C1B32"/>
    <w:rsid w:val="000C20C5"/>
    <w:rsid w:val="000C22A9"/>
    <w:rsid w:val="000C243A"/>
    <w:rsid w:val="000C253A"/>
    <w:rsid w:val="000C2937"/>
    <w:rsid w:val="000C2942"/>
    <w:rsid w:val="000C29B1"/>
    <w:rsid w:val="000C2B59"/>
    <w:rsid w:val="000C2C51"/>
    <w:rsid w:val="000C2ED8"/>
    <w:rsid w:val="000C2FA6"/>
    <w:rsid w:val="000C357B"/>
    <w:rsid w:val="000C3CF7"/>
    <w:rsid w:val="000C4026"/>
    <w:rsid w:val="000C42A2"/>
    <w:rsid w:val="000C42F3"/>
    <w:rsid w:val="000C57F8"/>
    <w:rsid w:val="000C59E9"/>
    <w:rsid w:val="000C5B88"/>
    <w:rsid w:val="000C5F7B"/>
    <w:rsid w:val="000C648A"/>
    <w:rsid w:val="000C6F07"/>
    <w:rsid w:val="000C6FD1"/>
    <w:rsid w:val="000C7235"/>
    <w:rsid w:val="000C7559"/>
    <w:rsid w:val="000C7F6A"/>
    <w:rsid w:val="000D143B"/>
    <w:rsid w:val="000D1522"/>
    <w:rsid w:val="000D16B2"/>
    <w:rsid w:val="000D1882"/>
    <w:rsid w:val="000D18CB"/>
    <w:rsid w:val="000D1A76"/>
    <w:rsid w:val="000D22A2"/>
    <w:rsid w:val="000D34DF"/>
    <w:rsid w:val="000D3839"/>
    <w:rsid w:val="000D3A0A"/>
    <w:rsid w:val="000D48D8"/>
    <w:rsid w:val="000D509F"/>
    <w:rsid w:val="000D559F"/>
    <w:rsid w:val="000D5C9A"/>
    <w:rsid w:val="000D646B"/>
    <w:rsid w:val="000D64A3"/>
    <w:rsid w:val="000D64B3"/>
    <w:rsid w:val="000D6D53"/>
    <w:rsid w:val="000D705A"/>
    <w:rsid w:val="000D73E8"/>
    <w:rsid w:val="000D7764"/>
    <w:rsid w:val="000D7830"/>
    <w:rsid w:val="000D7B04"/>
    <w:rsid w:val="000D7E66"/>
    <w:rsid w:val="000E0324"/>
    <w:rsid w:val="000E072F"/>
    <w:rsid w:val="000E10C8"/>
    <w:rsid w:val="000E16A5"/>
    <w:rsid w:val="000E2126"/>
    <w:rsid w:val="000E2331"/>
    <w:rsid w:val="000E23AD"/>
    <w:rsid w:val="000E2C53"/>
    <w:rsid w:val="000E2C72"/>
    <w:rsid w:val="000E2D17"/>
    <w:rsid w:val="000E3246"/>
    <w:rsid w:val="000E3B20"/>
    <w:rsid w:val="000E4152"/>
    <w:rsid w:val="000E44AC"/>
    <w:rsid w:val="000E451A"/>
    <w:rsid w:val="000E45A2"/>
    <w:rsid w:val="000E5069"/>
    <w:rsid w:val="000E5596"/>
    <w:rsid w:val="000E596A"/>
    <w:rsid w:val="000E5B40"/>
    <w:rsid w:val="000E5CD3"/>
    <w:rsid w:val="000E5E53"/>
    <w:rsid w:val="000E62CA"/>
    <w:rsid w:val="000E6351"/>
    <w:rsid w:val="000E73D8"/>
    <w:rsid w:val="000E79E2"/>
    <w:rsid w:val="000E7B36"/>
    <w:rsid w:val="000E7D83"/>
    <w:rsid w:val="000E7F3B"/>
    <w:rsid w:val="000F05E1"/>
    <w:rsid w:val="000F0623"/>
    <w:rsid w:val="000F119D"/>
    <w:rsid w:val="000F14D4"/>
    <w:rsid w:val="000F1AD0"/>
    <w:rsid w:val="000F1DFA"/>
    <w:rsid w:val="000F1DFE"/>
    <w:rsid w:val="000F1EE4"/>
    <w:rsid w:val="000F24EE"/>
    <w:rsid w:val="000F2C75"/>
    <w:rsid w:val="000F30B3"/>
    <w:rsid w:val="000F31FB"/>
    <w:rsid w:val="000F3445"/>
    <w:rsid w:val="000F34D1"/>
    <w:rsid w:val="000F3D79"/>
    <w:rsid w:val="000F4428"/>
    <w:rsid w:val="000F5AB7"/>
    <w:rsid w:val="000F5DD8"/>
    <w:rsid w:val="000F6438"/>
    <w:rsid w:val="000F65B2"/>
    <w:rsid w:val="000F69ED"/>
    <w:rsid w:val="000F6F4C"/>
    <w:rsid w:val="000F6FD6"/>
    <w:rsid w:val="000F70BB"/>
    <w:rsid w:val="000F77A6"/>
    <w:rsid w:val="000F7916"/>
    <w:rsid w:val="000F7AB0"/>
    <w:rsid w:val="00100026"/>
    <w:rsid w:val="00100394"/>
    <w:rsid w:val="00100EB1"/>
    <w:rsid w:val="001014BF"/>
    <w:rsid w:val="00101B20"/>
    <w:rsid w:val="0010219F"/>
    <w:rsid w:val="0010232D"/>
    <w:rsid w:val="001023A5"/>
    <w:rsid w:val="00102ABF"/>
    <w:rsid w:val="00102DD3"/>
    <w:rsid w:val="00102E0B"/>
    <w:rsid w:val="001032C6"/>
    <w:rsid w:val="00103735"/>
    <w:rsid w:val="00103890"/>
    <w:rsid w:val="00103921"/>
    <w:rsid w:val="00103A24"/>
    <w:rsid w:val="00104889"/>
    <w:rsid w:val="00104E4C"/>
    <w:rsid w:val="0010531F"/>
    <w:rsid w:val="00105BE6"/>
    <w:rsid w:val="00105E40"/>
    <w:rsid w:val="00107146"/>
    <w:rsid w:val="00107407"/>
    <w:rsid w:val="001075F6"/>
    <w:rsid w:val="00107AE9"/>
    <w:rsid w:val="00107C5F"/>
    <w:rsid w:val="00107C98"/>
    <w:rsid w:val="00107CBA"/>
    <w:rsid w:val="00107F51"/>
    <w:rsid w:val="00107F57"/>
    <w:rsid w:val="00107FF3"/>
    <w:rsid w:val="00110044"/>
    <w:rsid w:val="0011006D"/>
    <w:rsid w:val="001103CD"/>
    <w:rsid w:val="00110649"/>
    <w:rsid w:val="001106A0"/>
    <w:rsid w:val="001118C5"/>
    <w:rsid w:val="00111BF4"/>
    <w:rsid w:val="00111CC1"/>
    <w:rsid w:val="00111F9D"/>
    <w:rsid w:val="00112187"/>
    <w:rsid w:val="00112764"/>
    <w:rsid w:val="00112D3C"/>
    <w:rsid w:val="00113460"/>
    <w:rsid w:val="001134F9"/>
    <w:rsid w:val="00113F17"/>
    <w:rsid w:val="00114263"/>
    <w:rsid w:val="0011475A"/>
    <w:rsid w:val="001147A9"/>
    <w:rsid w:val="00114B00"/>
    <w:rsid w:val="00114BF1"/>
    <w:rsid w:val="00114CF8"/>
    <w:rsid w:val="00114D25"/>
    <w:rsid w:val="00114DB7"/>
    <w:rsid w:val="00114DBA"/>
    <w:rsid w:val="001150A2"/>
    <w:rsid w:val="00115152"/>
    <w:rsid w:val="00115173"/>
    <w:rsid w:val="0011518F"/>
    <w:rsid w:val="001157F6"/>
    <w:rsid w:val="0011595E"/>
    <w:rsid w:val="00115CB7"/>
    <w:rsid w:val="00115ECA"/>
    <w:rsid w:val="001160ED"/>
    <w:rsid w:val="001164C9"/>
    <w:rsid w:val="0011668D"/>
    <w:rsid w:val="001166BE"/>
    <w:rsid w:val="00116D9C"/>
    <w:rsid w:val="00117060"/>
    <w:rsid w:val="00117210"/>
    <w:rsid w:val="001173FB"/>
    <w:rsid w:val="001205F4"/>
    <w:rsid w:val="0012140B"/>
    <w:rsid w:val="001217D6"/>
    <w:rsid w:val="00121C07"/>
    <w:rsid w:val="00121EF0"/>
    <w:rsid w:val="00122BC2"/>
    <w:rsid w:val="00122BE9"/>
    <w:rsid w:val="00122DC6"/>
    <w:rsid w:val="0012316C"/>
    <w:rsid w:val="0012388E"/>
    <w:rsid w:val="001244FC"/>
    <w:rsid w:val="00124F7A"/>
    <w:rsid w:val="00125091"/>
    <w:rsid w:val="001251B7"/>
    <w:rsid w:val="00125204"/>
    <w:rsid w:val="001252E9"/>
    <w:rsid w:val="00125492"/>
    <w:rsid w:val="00125668"/>
    <w:rsid w:val="0012697F"/>
    <w:rsid w:val="00126AEE"/>
    <w:rsid w:val="00126F31"/>
    <w:rsid w:val="001274E9"/>
    <w:rsid w:val="00127755"/>
    <w:rsid w:val="0012783B"/>
    <w:rsid w:val="00127BB6"/>
    <w:rsid w:val="00130493"/>
    <w:rsid w:val="001304B9"/>
    <w:rsid w:val="001315AB"/>
    <w:rsid w:val="0013162C"/>
    <w:rsid w:val="00131D95"/>
    <w:rsid w:val="00131EE0"/>
    <w:rsid w:val="001322C0"/>
    <w:rsid w:val="001328C0"/>
    <w:rsid w:val="00133294"/>
    <w:rsid w:val="00133656"/>
    <w:rsid w:val="00133C02"/>
    <w:rsid w:val="00133ED9"/>
    <w:rsid w:val="001340AF"/>
    <w:rsid w:val="001350D0"/>
    <w:rsid w:val="001351BD"/>
    <w:rsid w:val="001352E4"/>
    <w:rsid w:val="001352F5"/>
    <w:rsid w:val="001357F6"/>
    <w:rsid w:val="00135A9C"/>
    <w:rsid w:val="00135F00"/>
    <w:rsid w:val="001363F8"/>
    <w:rsid w:val="00136436"/>
    <w:rsid w:val="00136A0F"/>
    <w:rsid w:val="00136CA3"/>
    <w:rsid w:val="001370A2"/>
    <w:rsid w:val="001374F3"/>
    <w:rsid w:val="001375FD"/>
    <w:rsid w:val="001400FC"/>
    <w:rsid w:val="001402C1"/>
    <w:rsid w:val="0014051F"/>
    <w:rsid w:val="001408DE"/>
    <w:rsid w:val="00140B53"/>
    <w:rsid w:val="00140D3C"/>
    <w:rsid w:val="00141B8F"/>
    <w:rsid w:val="00141E14"/>
    <w:rsid w:val="00141E56"/>
    <w:rsid w:val="00141F2D"/>
    <w:rsid w:val="001425AF"/>
    <w:rsid w:val="00142B91"/>
    <w:rsid w:val="00142DCA"/>
    <w:rsid w:val="0014403A"/>
    <w:rsid w:val="00145168"/>
    <w:rsid w:val="00145441"/>
    <w:rsid w:val="00145BAE"/>
    <w:rsid w:val="00145ECB"/>
    <w:rsid w:val="00145F8F"/>
    <w:rsid w:val="0014671A"/>
    <w:rsid w:val="00146AAB"/>
    <w:rsid w:val="00146DE9"/>
    <w:rsid w:val="00147029"/>
    <w:rsid w:val="001471DC"/>
    <w:rsid w:val="00147765"/>
    <w:rsid w:val="001477BB"/>
    <w:rsid w:val="001478B7"/>
    <w:rsid w:val="0014792D"/>
    <w:rsid w:val="001479C0"/>
    <w:rsid w:val="00147D72"/>
    <w:rsid w:val="00147FC6"/>
    <w:rsid w:val="0015064F"/>
    <w:rsid w:val="00150969"/>
    <w:rsid w:val="00150AD7"/>
    <w:rsid w:val="001511BF"/>
    <w:rsid w:val="00151814"/>
    <w:rsid w:val="00152561"/>
    <w:rsid w:val="00153804"/>
    <w:rsid w:val="00154692"/>
    <w:rsid w:val="001548B1"/>
    <w:rsid w:val="00154AC8"/>
    <w:rsid w:val="00154C53"/>
    <w:rsid w:val="00154D2C"/>
    <w:rsid w:val="00155327"/>
    <w:rsid w:val="001554CA"/>
    <w:rsid w:val="0015552F"/>
    <w:rsid w:val="001556B3"/>
    <w:rsid w:val="0015574A"/>
    <w:rsid w:val="001557B1"/>
    <w:rsid w:val="00155E37"/>
    <w:rsid w:val="00156053"/>
    <w:rsid w:val="0015624C"/>
    <w:rsid w:val="0015632E"/>
    <w:rsid w:val="00156C01"/>
    <w:rsid w:val="00156D25"/>
    <w:rsid w:val="00156FCA"/>
    <w:rsid w:val="00156FE5"/>
    <w:rsid w:val="00157176"/>
    <w:rsid w:val="00157839"/>
    <w:rsid w:val="00157F48"/>
    <w:rsid w:val="001600BD"/>
    <w:rsid w:val="001600D5"/>
    <w:rsid w:val="00160313"/>
    <w:rsid w:val="00160727"/>
    <w:rsid w:val="00160818"/>
    <w:rsid w:val="00160915"/>
    <w:rsid w:val="001612A8"/>
    <w:rsid w:val="00161BB6"/>
    <w:rsid w:val="00162ECD"/>
    <w:rsid w:val="001631AE"/>
    <w:rsid w:val="001633C2"/>
    <w:rsid w:val="001634EA"/>
    <w:rsid w:val="001639DA"/>
    <w:rsid w:val="001644D4"/>
    <w:rsid w:val="0016457E"/>
    <w:rsid w:val="00164844"/>
    <w:rsid w:val="0016489F"/>
    <w:rsid w:val="001654E1"/>
    <w:rsid w:val="001654F3"/>
    <w:rsid w:val="001655B3"/>
    <w:rsid w:val="0016596C"/>
    <w:rsid w:val="00165E17"/>
    <w:rsid w:val="00166019"/>
    <w:rsid w:val="0016641A"/>
    <w:rsid w:val="001664F7"/>
    <w:rsid w:val="00166825"/>
    <w:rsid w:val="00166A51"/>
    <w:rsid w:val="00166C9B"/>
    <w:rsid w:val="00167771"/>
    <w:rsid w:val="0016798C"/>
    <w:rsid w:val="00167CB4"/>
    <w:rsid w:val="00170639"/>
    <w:rsid w:val="00170EF5"/>
    <w:rsid w:val="001721E8"/>
    <w:rsid w:val="001722EE"/>
    <w:rsid w:val="0017243C"/>
    <w:rsid w:val="00173026"/>
    <w:rsid w:val="00173A3E"/>
    <w:rsid w:val="0017449A"/>
    <w:rsid w:val="00174A70"/>
    <w:rsid w:val="00174DC1"/>
    <w:rsid w:val="00175185"/>
    <w:rsid w:val="001758B9"/>
    <w:rsid w:val="00175A84"/>
    <w:rsid w:val="00175D81"/>
    <w:rsid w:val="001760FD"/>
    <w:rsid w:val="001762B1"/>
    <w:rsid w:val="0017669D"/>
    <w:rsid w:val="00176732"/>
    <w:rsid w:val="00176841"/>
    <w:rsid w:val="00176C5D"/>
    <w:rsid w:val="00176DE9"/>
    <w:rsid w:val="00176E11"/>
    <w:rsid w:val="0017724B"/>
    <w:rsid w:val="00177468"/>
    <w:rsid w:val="00177832"/>
    <w:rsid w:val="00177A80"/>
    <w:rsid w:val="00177CEF"/>
    <w:rsid w:val="00177F6C"/>
    <w:rsid w:val="00177FF9"/>
    <w:rsid w:val="0018051F"/>
    <w:rsid w:val="001807A8"/>
    <w:rsid w:val="00180C01"/>
    <w:rsid w:val="00180C13"/>
    <w:rsid w:val="001812D3"/>
    <w:rsid w:val="00181990"/>
    <w:rsid w:val="001825B9"/>
    <w:rsid w:val="00182FBC"/>
    <w:rsid w:val="00183961"/>
    <w:rsid w:val="00183AA7"/>
    <w:rsid w:val="00183D00"/>
    <w:rsid w:val="0018434F"/>
    <w:rsid w:val="001868BB"/>
    <w:rsid w:val="00186D9E"/>
    <w:rsid w:val="00186DA3"/>
    <w:rsid w:val="00186FE2"/>
    <w:rsid w:val="001878A6"/>
    <w:rsid w:val="00187B10"/>
    <w:rsid w:val="00187B7B"/>
    <w:rsid w:val="00187E0C"/>
    <w:rsid w:val="00190561"/>
    <w:rsid w:val="00191741"/>
    <w:rsid w:val="00191BCA"/>
    <w:rsid w:val="00191D34"/>
    <w:rsid w:val="00191F89"/>
    <w:rsid w:val="001926C7"/>
    <w:rsid w:val="001929A9"/>
    <w:rsid w:val="00193567"/>
    <w:rsid w:val="00193B45"/>
    <w:rsid w:val="001948FC"/>
    <w:rsid w:val="00194AB0"/>
    <w:rsid w:val="00194AC2"/>
    <w:rsid w:val="001955C6"/>
    <w:rsid w:val="00195642"/>
    <w:rsid w:val="00195EEB"/>
    <w:rsid w:val="001961E3"/>
    <w:rsid w:val="0019634B"/>
    <w:rsid w:val="001964A9"/>
    <w:rsid w:val="0019664A"/>
    <w:rsid w:val="00196A2D"/>
    <w:rsid w:val="00196BBF"/>
    <w:rsid w:val="00197050"/>
    <w:rsid w:val="00197084"/>
    <w:rsid w:val="001974A2"/>
    <w:rsid w:val="00197A7C"/>
    <w:rsid w:val="00197E40"/>
    <w:rsid w:val="001A004B"/>
    <w:rsid w:val="001A0053"/>
    <w:rsid w:val="001A0580"/>
    <w:rsid w:val="001A058D"/>
    <w:rsid w:val="001A086F"/>
    <w:rsid w:val="001A15A1"/>
    <w:rsid w:val="001A189B"/>
    <w:rsid w:val="001A25F7"/>
    <w:rsid w:val="001A2E57"/>
    <w:rsid w:val="001A3E05"/>
    <w:rsid w:val="001A3F09"/>
    <w:rsid w:val="001A40DF"/>
    <w:rsid w:val="001A41CD"/>
    <w:rsid w:val="001A48F9"/>
    <w:rsid w:val="001A4F06"/>
    <w:rsid w:val="001A50BF"/>
    <w:rsid w:val="001A5150"/>
    <w:rsid w:val="001A52D1"/>
    <w:rsid w:val="001A5886"/>
    <w:rsid w:val="001A5C9B"/>
    <w:rsid w:val="001A5E07"/>
    <w:rsid w:val="001A61EF"/>
    <w:rsid w:val="001A6FCD"/>
    <w:rsid w:val="001A7B70"/>
    <w:rsid w:val="001B010A"/>
    <w:rsid w:val="001B0233"/>
    <w:rsid w:val="001B0625"/>
    <w:rsid w:val="001B06D6"/>
    <w:rsid w:val="001B07CC"/>
    <w:rsid w:val="001B0CB1"/>
    <w:rsid w:val="001B110D"/>
    <w:rsid w:val="001B12E8"/>
    <w:rsid w:val="001B1559"/>
    <w:rsid w:val="001B1782"/>
    <w:rsid w:val="001B1B0D"/>
    <w:rsid w:val="001B22A2"/>
    <w:rsid w:val="001B2499"/>
    <w:rsid w:val="001B2543"/>
    <w:rsid w:val="001B26BD"/>
    <w:rsid w:val="001B310B"/>
    <w:rsid w:val="001B37D4"/>
    <w:rsid w:val="001B3B62"/>
    <w:rsid w:val="001B3B7B"/>
    <w:rsid w:val="001B411C"/>
    <w:rsid w:val="001B4576"/>
    <w:rsid w:val="001B4763"/>
    <w:rsid w:val="001B58EF"/>
    <w:rsid w:val="001B66AC"/>
    <w:rsid w:val="001B6AA9"/>
    <w:rsid w:val="001B75F5"/>
    <w:rsid w:val="001B7859"/>
    <w:rsid w:val="001B79BA"/>
    <w:rsid w:val="001B7C45"/>
    <w:rsid w:val="001C007B"/>
    <w:rsid w:val="001C0D68"/>
    <w:rsid w:val="001C0E2E"/>
    <w:rsid w:val="001C146B"/>
    <w:rsid w:val="001C1551"/>
    <w:rsid w:val="001C1B53"/>
    <w:rsid w:val="001C1E36"/>
    <w:rsid w:val="001C1F2A"/>
    <w:rsid w:val="001C21D0"/>
    <w:rsid w:val="001C25D6"/>
    <w:rsid w:val="001C271A"/>
    <w:rsid w:val="001C2767"/>
    <w:rsid w:val="001C2998"/>
    <w:rsid w:val="001C365F"/>
    <w:rsid w:val="001C3EC3"/>
    <w:rsid w:val="001C45E0"/>
    <w:rsid w:val="001C48FE"/>
    <w:rsid w:val="001C4A2E"/>
    <w:rsid w:val="001C5335"/>
    <w:rsid w:val="001C5756"/>
    <w:rsid w:val="001C5A9A"/>
    <w:rsid w:val="001C5AA1"/>
    <w:rsid w:val="001C5BED"/>
    <w:rsid w:val="001C6BC0"/>
    <w:rsid w:val="001C71C8"/>
    <w:rsid w:val="001C745D"/>
    <w:rsid w:val="001C747D"/>
    <w:rsid w:val="001C74D7"/>
    <w:rsid w:val="001C7563"/>
    <w:rsid w:val="001C7D60"/>
    <w:rsid w:val="001C7E6C"/>
    <w:rsid w:val="001C7FCA"/>
    <w:rsid w:val="001D0504"/>
    <w:rsid w:val="001D05D7"/>
    <w:rsid w:val="001D0801"/>
    <w:rsid w:val="001D08C5"/>
    <w:rsid w:val="001D0A8E"/>
    <w:rsid w:val="001D0E2A"/>
    <w:rsid w:val="001D1264"/>
    <w:rsid w:val="001D141A"/>
    <w:rsid w:val="001D168E"/>
    <w:rsid w:val="001D20C2"/>
    <w:rsid w:val="001D2E18"/>
    <w:rsid w:val="001D2F9D"/>
    <w:rsid w:val="001D321B"/>
    <w:rsid w:val="001D3654"/>
    <w:rsid w:val="001D36C8"/>
    <w:rsid w:val="001D3B2F"/>
    <w:rsid w:val="001D3F87"/>
    <w:rsid w:val="001D4081"/>
    <w:rsid w:val="001D41C9"/>
    <w:rsid w:val="001D43AC"/>
    <w:rsid w:val="001D4EDE"/>
    <w:rsid w:val="001D5180"/>
    <w:rsid w:val="001D57A5"/>
    <w:rsid w:val="001D583D"/>
    <w:rsid w:val="001D5BA4"/>
    <w:rsid w:val="001D5F19"/>
    <w:rsid w:val="001D6016"/>
    <w:rsid w:val="001D60A4"/>
    <w:rsid w:val="001D6273"/>
    <w:rsid w:val="001D64BA"/>
    <w:rsid w:val="001D675B"/>
    <w:rsid w:val="001D6770"/>
    <w:rsid w:val="001D6EAE"/>
    <w:rsid w:val="001D7663"/>
    <w:rsid w:val="001D7E90"/>
    <w:rsid w:val="001E02A2"/>
    <w:rsid w:val="001E0334"/>
    <w:rsid w:val="001E13F3"/>
    <w:rsid w:val="001E1687"/>
    <w:rsid w:val="001E1B28"/>
    <w:rsid w:val="001E26B4"/>
    <w:rsid w:val="001E2992"/>
    <w:rsid w:val="001E2B84"/>
    <w:rsid w:val="001E2CA6"/>
    <w:rsid w:val="001E301C"/>
    <w:rsid w:val="001E3097"/>
    <w:rsid w:val="001E3652"/>
    <w:rsid w:val="001E36FA"/>
    <w:rsid w:val="001E3B00"/>
    <w:rsid w:val="001E3DAD"/>
    <w:rsid w:val="001E4153"/>
    <w:rsid w:val="001E46FA"/>
    <w:rsid w:val="001E526F"/>
    <w:rsid w:val="001E5746"/>
    <w:rsid w:val="001E5E37"/>
    <w:rsid w:val="001E60BF"/>
    <w:rsid w:val="001E60E9"/>
    <w:rsid w:val="001E63DA"/>
    <w:rsid w:val="001E6C52"/>
    <w:rsid w:val="001E6F39"/>
    <w:rsid w:val="001E7361"/>
    <w:rsid w:val="001E7692"/>
    <w:rsid w:val="001F006E"/>
    <w:rsid w:val="001F04BB"/>
    <w:rsid w:val="001F0EE9"/>
    <w:rsid w:val="001F1202"/>
    <w:rsid w:val="001F13D3"/>
    <w:rsid w:val="001F1B55"/>
    <w:rsid w:val="001F1BC7"/>
    <w:rsid w:val="001F2161"/>
    <w:rsid w:val="001F2533"/>
    <w:rsid w:val="001F270E"/>
    <w:rsid w:val="001F2F35"/>
    <w:rsid w:val="001F324E"/>
    <w:rsid w:val="001F3AA2"/>
    <w:rsid w:val="001F3C02"/>
    <w:rsid w:val="001F3E6C"/>
    <w:rsid w:val="001F463B"/>
    <w:rsid w:val="001F48D9"/>
    <w:rsid w:val="001F4DFF"/>
    <w:rsid w:val="001F4FF7"/>
    <w:rsid w:val="001F58B5"/>
    <w:rsid w:val="001F5A3D"/>
    <w:rsid w:val="001F5BE2"/>
    <w:rsid w:val="001F5F77"/>
    <w:rsid w:val="001F7393"/>
    <w:rsid w:val="001F77B1"/>
    <w:rsid w:val="001F77E7"/>
    <w:rsid w:val="00200379"/>
    <w:rsid w:val="00200BB5"/>
    <w:rsid w:val="00200BF0"/>
    <w:rsid w:val="00200F1D"/>
    <w:rsid w:val="002011AB"/>
    <w:rsid w:val="00201878"/>
    <w:rsid w:val="00201A6A"/>
    <w:rsid w:val="0020202F"/>
    <w:rsid w:val="00202361"/>
    <w:rsid w:val="00202C46"/>
    <w:rsid w:val="00203ACB"/>
    <w:rsid w:val="002040E7"/>
    <w:rsid w:val="002041AE"/>
    <w:rsid w:val="0020467B"/>
    <w:rsid w:val="00204989"/>
    <w:rsid w:val="00204DEF"/>
    <w:rsid w:val="00204F8A"/>
    <w:rsid w:val="002054D9"/>
    <w:rsid w:val="00205A08"/>
    <w:rsid w:val="002061C8"/>
    <w:rsid w:val="002068EC"/>
    <w:rsid w:val="00206B89"/>
    <w:rsid w:val="00206D36"/>
    <w:rsid w:val="00206DE3"/>
    <w:rsid w:val="002076A1"/>
    <w:rsid w:val="00207781"/>
    <w:rsid w:val="00207AD3"/>
    <w:rsid w:val="00207F94"/>
    <w:rsid w:val="0021032B"/>
    <w:rsid w:val="0021058B"/>
    <w:rsid w:val="00210704"/>
    <w:rsid w:val="00210B16"/>
    <w:rsid w:val="00210B9C"/>
    <w:rsid w:val="00210E70"/>
    <w:rsid w:val="00210EEC"/>
    <w:rsid w:val="00211348"/>
    <w:rsid w:val="002114D7"/>
    <w:rsid w:val="00211DA4"/>
    <w:rsid w:val="00211E0C"/>
    <w:rsid w:val="00211F0E"/>
    <w:rsid w:val="002120DB"/>
    <w:rsid w:val="002121ED"/>
    <w:rsid w:val="002123EB"/>
    <w:rsid w:val="0021258C"/>
    <w:rsid w:val="002128E7"/>
    <w:rsid w:val="00212A1A"/>
    <w:rsid w:val="00212B26"/>
    <w:rsid w:val="00212D28"/>
    <w:rsid w:val="002139AB"/>
    <w:rsid w:val="00213C0C"/>
    <w:rsid w:val="00213F4E"/>
    <w:rsid w:val="00214439"/>
    <w:rsid w:val="00214959"/>
    <w:rsid w:val="00214D48"/>
    <w:rsid w:val="00215A09"/>
    <w:rsid w:val="0021629A"/>
    <w:rsid w:val="00216674"/>
    <w:rsid w:val="002169C3"/>
    <w:rsid w:val="00216A32"/>
    <w:rsid w:val="00216C1B"/>
    <w:rsid w:val="00217862"/>
    <w:rsid w:val="00217987"/>
    <w:rsid w:val="00217C96"/>
    <w:rsid w:val="002202B3"/>
    <w:rsid w:val="002204B5"/>
    <w:rsid w:val="00220964"/>
    <w:rsid w:val="00220B9A"/>
    <w:rsid w:val="002217F9"/>
    <w:rsid w:val="0022181F"/>
    <w:rsid w:val="00221BF7"/>
    <w:rsid w:val="00221D0C"/>
    <w:rsid w:val="00221ECA"/>
    <w:rsid w:val="002220EC"/>
    <w:rsid w:val="00222EED"/>
    <w:rsid w:val="00223304"/>
    <w:rsid w:val="00223734"/>
    <w:rsid w:val="002238B3"/>
    <w:rsid w:val="00223A72"/>
    <w:rsid w:val="00223E36"/>
    <w:rsid w:val="00224A40"/>
    <w:rsid w:val="00224EAB"/>
    <w:rsid w:val="00225202"/>
    <w:rsid w:val="00225664"/>
    <w:rsid w:val="00225942"/>
    <w:rsid w:val="002260D3"/>
    <w:rsid w:val="00226193"/>
    <w:rsid w:val="00226300"/>
    <w:rsid w:val="002263FE"/>
    <w:rsid w:val="00227150"/>
    <w:rsid w:val="0022772A"/>
    <w:rsid w:val="00227B1F"/>
    <w:rsid w:val="00227B6B"/>
    <w:rsid w:val="00227FD6"/>
    <w:rsid w:val="002307E1"/>
    <w:rsid w:val="0023083B"/>
    <w:rsid w:val="00230B99"/>
    <w:rsid w:val="00230C09"/>
    <w:rsid w:val="00232632"/>
    <w:rsid w:val="0023281F"/>
    <w:rsid w:val="0023314F"/>
    <w:rsid w:val="0023374B"/>
    <w:rsid w:val="00233C29"/>
    <w:rsid w:val="00233F30"/>
    <w:rsid w:val="00233F52"/>
    <w:rsid w:val="00234706"/>
    <w:rsid w:val="002348B0"/>
    <w:rsid w:val="00234E5A"/>
    <w:rsid w:val="00234EAE"/>
    <w:rsid w:val="00235BBB"/>
    <w:rsid w:val="002369AC"/>
    <w:rsid w:val="00236A4F"/>
    <w:rsid w:val="00236B50"/>
    <w:rsid w:val="00236BD2"/>
    <w:rsid w:val="00237CD6"/>
    <w:rsid w:val="002401A4"/>
    <w:rsid w:val="0024036F"/>
    <w:rsid w:val="00240390"/>
    <w:rsid w:val="00240AF4"/>
    <w:rsid w:val="00241038"/>
    <w:rsid w:val="002412D3"/>
    <w:rsid w:val="002418B9"/>
    <w:rsid w:val="00241B72"/>
    <w:rsid w:val="002425A7"/>
    <w:rsid w:val="002429C0"/>
    <w:rsid w:val="00242F38"/>
    <w:rsid w:val="00243264"/>
    <w:rsid w:val="002433B5"/>
    <w:rsid w:val="00243626"/>
    <w:rsid w:val="002437F1"/>
    <w:rsid w:val="0024388D"/>
    <w:rsid w:val="00243A77"/>
    <w:rsid w:val="00243E3B"/>
    <w:rsid w:val="002442A5"/>
    <w:rsid w:val="0024486C"/>
    <w:rsid w:val="00244BB6"/>
    <w:rsid w:val="0024546E"/>
    <w:rsid w:val="002456CC"/>
    <w:rsid w:val="002457FA"/>
    <w:rsid w:val="002459E8"/>
    <w:rsid w:val="00245BF7"/>
    <w:rsid w:val="00245C68"/>
    <w:rsid w:val="00246D7E"/>
    <w:rsid w:val="00246FE6"/>
    <w:rsid w:val="002472A8"/>
    <w:rsid w:val="002472E0"/>
    <w:rsid w:val="002507A3"/>
    <w:rsid w:val="00250ABC"/>
    <w:rsid w:val="00250CB2"/>
    <w:rsid w:val="00252D60"/>
    <w:rsid w:val="00253107"/>
    <w:rsid w:val="00253AD4"/>
    <w:rsid w:val="00253B9D"/>
    <w:rsid w:val="00253C1D"/>
    <w:rsid w:val="00253CE1"/>
    <w:rsid w:val="00253DBA"/>
    <w:rsid w:val="00254156"/>
    <w:rsid w:val="002543DC"/>
    <w:rsid w:val="00254BD4"/>
    <w:rsid w:val="00254C67"/>
    <w:rsid w:val="002552AE"/>
    <w:rsid w:val="002552C1"/>
    <w:rsid w:val="002554EA"/>
    <w:rsid w:val="00255E06"/>
    <w:rsid w:val="002561E5"/>
    <w:rsid w:val="0025626F"/>
    <w:rsid w:val="002564B2"/>
    <w:rsid w:val="00256566"/>
    <w:rsid w:val="00256A7B"/>
    <w:rsid w:val="00256ED5"/>
    <w:rsid w:val="002572E4"/>
    <w:rsid w:val="002578E4"/>
    <w:rsid w:val="00257A56"/>
    <w:rsid w:val="00257B67"/>
    <w:rsid w:val="00257C5C"/>
    <w:rsid w:val="00257DC0"/>
    <w:rsid w:val="0026008A"/>
    <w:rsid w:val="002604B0"/>
    <w:rsid w:val="00260578"/>
    <w:rsid w:val="00260718"/>
    <w:rsid w:val="002608B1"/>
    <w:rsid w:val="00260987"/>
    <w:rsid w:val="00261176"/>
    <w:rsid w:val="00261205"/>
    <w:rsid w:val="0026273F"/>
    <w:rsid w:val="00262819"/>
    <w:rsid w:val="00263156"/>
    <w:rsid w:val="002633E9"/>
    <w:rsid w:val="002639A1"/>
    <w:rsid w:val="00264196"/>
    <w:rsid w:val="0026423E"/>
    <w:rsid w:val="00264428"/>
    <w:rsid w:val="002644B0"/>
    <w:rsid w:val="002645C7"/>
    <w:rsid w:val="0026466D"/>
    <w:rsid w:val="002649ED"/>
    <w:rsid w:val="00264ABD"/>
    <w:rsid w:val="00264B3B"/>
    <w:rsid w:val="00264B96"/>
    <w:rsid w:val="00264EF3"/>
    <w:rsid w:val="00264F9D"/>
    <w:rsid w:val="002651FE"/>
    <w:rsid w:val="00265243"/>
    <w:rsid w:val="0026525B"/>
    <w:rsid w:val="00265404"/>
    <w:rsid w:val="00265FE6"/>
    <w:rsid w:val="00266589"/>
    <w:rsid w:val="002665A9"/>
    <w:rsid w:val="002665EB"/>
    <w:rsid w:val="00266A0B"/>
    <w:rsid w:val="00266D30"/>
    <w:rsid w:val="00266E75"/>
    <w:rsid w:val="002670F9"/>
    <w:rsid w:val="0026716D"/>
    <w:rsid w:val="002673E7"/>
    <w:rsid w:val="00267431"/>
    <w:rsid w:val="0026785E"/>
    <w:rsid w:val="00267960"/>
    <w:rsid w:val="002679EE"/>
    <w:rsid w:val="00267B01"/>
    <w:rsid w:val="00270548"/>
    <w:rsid w:val="00270A9C"/>
    <w:rsid w:val="00270C84"/>
    <w:rsid w:val="002711D9"/>
    <w:rsid w:val="0027191C"/>
    <w:rsid w:val="00271938"/>
    <w:rsid w:val="00271C4E"/>
    <w:rsid w:val="00272523"/>
    <w:rsid w:val="002726A0"/>
    <w:rsid w:val="002734F0"/>
    <w:rsid w:val="00273537"/>
    <w:rsid w:val="00273B20"/>
    <w:rsid w:val="00273E65"/>
    <w:rsid w:val="00274383"/>
    <w:rsid w:val="0027478B"/>
    <w:rsid w:val="002748F5"/>
    <w:rsid w:val="002752FE"/>
    <w:rsid w:val="00275326"/>
    <w:rsid w:val="0027535F"/>
    <w:rsid w:val="00276BF8"/>
    <w:rsid w:val="00280564"/>
    <w:rsid w:val="002817D2"/>
    <w:rsid w:val="00281F09"/>
    <w:rsid w:val="00282214"/>
    <w:rsid w:val="002827C8"/>
    <w:rsid w:val="002828D5"/>
    <w:rsid w:val="00282BA3"/>
    <w:rsid w:val="00282C1A"/>
    <w:rsid w:val="00282DEC"/>
    <w:rsid w:val="0028345E"/>
    <w:rsid w:val="00283873"/>
    <w:rsid w:val="00284376"/>
    <w:rsid w:val="002849BC"/>
    <w:rsid w:val="00284B8C"/>
    <w:rsid w:val="00284C38"/>
    <w:rsid w:val="00284EC9"/>
    <w:rsid w:val="00285142"/>
    <w:rsid w:val="00285247"/>
    <w:rsid w:val="00285F6B"/>
    <w:rsid w:val="00286178"/>
    <w:rsid w:val="002866FF"/>
    <w:rsid w:val="002872D5"/>
    <w:rsid w:val="00287314"/>
    <w:rsid w:val="00287834"/>
    <w:rsid w:val="00287A0D"/>
    <w:rsid w:val="00287C21"/>
    <w:rsid w:val="0029010F"/>
    <w:rsid w:val="0029041D"/>
    <w:rsid w:val="00290704"/>
    <w:rsid w:val="00290880"/>
    <w:rsid w:val="00291476"/>
    <w:rsid w:val="0029172C"/>
    <w:rsid w:val="002919E9"/>
    <w:rsid w:val="00292227"/>
    <w:rsid w:val="00292463"/>
    <w:rsid w:val="00292B17"/>
    <w:rsid w:val="00293325"/>
    <w:rsid w:val="00293564"/>
    <w:rsid w:val="00293593"/>
    <w:rsid w:val="0029390D"/>
    <w:rsid w:val="00293E24"/>
    <w:rsid w:val="002941C6"/>
    <w:rsid w:val="002942F2"/>
    <w:rsid w:val="00294310"/>
    <w:rsid w:val="00294483"/>
    <w:rsid w:val="00295058"/>
    <w:rsid w:val="00295BCF"/>
    <w:rsid w:val="0029627C"/>
    <w:rsid w:val="00296DEF"/>
    <w:rsid w:val="00296E41"/>
    <w:rsid w:val="002973F4"/>
    <w:rsid w:val="0029751E"/>
    <w:rsid w:val="00297900"/>
    <w:rsid w:val="00297962"/>
    <w:rsid w:val="00297D53"/>
    <w:rsid w:val="00297E82"/>
    <w:rsid w:val="002A0821"/>
    <w:rsid w:val="002A1B48"/>
    <w:rsid w:val="002A232F"/>
    <w:rsid w:val="002A25E3"/>
    <w:rsid w:val="002A277B"/>
    <w:rsid w:val="002A2D5B"/>
    <w:rsid w:val="002A33E7"/>
    <w:rsid w:val="002A34C0"/>
    <w:rsid w:val="002A3778"/>
    <w:rsid w:val="002A398A"/>
    <w:rsid w:val="002A3FC2"/>
    <w:rsid w:val="002A453D"/>
    <w:rsid w:val="002A4607"/>
    <w:rsid w:val="002A4FC6"/>
    <w:rsid w:val="002A5285"/>
    <w:rsid w:val="002A5340"/>
    <w:rsid w:val="002A56E6"/>
    <w:rsid w:val="002A5BD8"/>
    <w:rsid w:val="002A5F0B"/>
    <w:rsid w:val="002A6872"/>
    <w:rsid w:val="002A6DC6"/>
    <w:rsid w:val="002A74C8"/>
    <w:rsid w:val="002A7626"/>
    <w:rsid w:val="002A769E"/>
    <w:rsid w:val="002A773E"/>
    <w:rsid w:val="002A79D0"/>
    <w:rsid w:val="002A7E63"/>
    <w:rsid w:val="002A7FCD"/>
    <w:rsid w:val="002B020F"/>
    <w:rsid w:val="002B097C"/>
    <w:rsid w:val="002B0B85"/>
    <w:rsid w:val="002B1D0E"/>
    <w:rsid w:val="002B1F65"/>
    <w:rsid w:val="002B20C9"/>
    <w:rsid w:val="002B2113"/>
    <w:rsid w:val="002B2253"/>
    <w:rsid w:val="002B24A7"/>
    <w:rsid w:val="002B2F09"/>
    <w:rsid w:val="002B3D3C"/>
    <w:rsid w:val="002B4663"/>
    <w:rsid w:val="002B477D"/>
    <w:rsid w:val="002B4CE5"/>
    <w:rsid w:val="002B52CC"/>
    <w:rsid w:val="002B5509"/>
    <w:rsid w:val="002B5734"/>
    <w:rsid w:val="002B59ED"/>
    <w:rsid w:val="002B629E"/>
    <w:rsid w:val="002B64CF"/>
    <w:rsid w:val="002B65C7"/>
    <w:rsid w:val="002B6970"/>
    <w:rsid w:val="002B7234"/>
    <w:rsid w:val="002B7464"/>
    <w:rsid w:val="002B7EF2"/>
    <w:rsid w:val="002C096D"/>
    <w:rsid w:val="002C1261"/>
    <w:rsid w:val="002C1529"/>
    <w:rsid w:val="002C199E"/>
    <w:rsid w:val="002C1CD6"/>
    <w:rsid w:val="002C2AF7"/>
    <w:rsid w:val="002C2BD9"/>
    <w:rsid w:val="002C2F61"/>
    <w:rsid w:val="002C3372"/>
    <w:rsid w:val="002C3811"/>
    <w:rsid w:val="002C3A4F"/>
    <w:rsid w:val="002C3A7D"/>
    <w:rsid w:val="002C41F1"/>
    <w:rsid w:val="002C4434"/>
    <w:rsid w:val="002C4457"/>
    <w:rsid w:val="002C45DA"/>
    <w:rsid w:val="002C4988"/>
    <w:rsid w:val="002C4C7E"/>
    <w:rsid w:val="002C4E45"/>
    <w:rsid w:val="002C5401"/>
    <w:rsid w:val="002C55A6"/>
    <w:rsid w:val="002C55B0"/>
    <w:rsid w:val="002C5BD7"/>
    <w:rsid w:val="002C63E9"/>
    <w:rsid w:val="002C7871"/>
    <w:rsid w:val="002D0870"/>
    <w:rsid w:val="002D0893"/>
    <w:rsid w:val="002D0B7B"/>
    <w:rsid w:val="002D0CE6"/>
    <w:rsid w:val="002D1238"/>
    <w:rsid w:val="002D1266"/>
    <w:rsid w:val="002D1524"/>
    <w:rsid w:val="002D1ECA"/>
    <w:rsid w:val="002D1FEB"/>
    <w:rsid w:val="002D229C"/>
    <w:rsid w:val="002D2BE2"/>
    <w:rsid w:val="002D2C52"/>
    <w:rsid w:val="002D3E4D"/>
    <w:rsid w:val="002D5171"/>
    <w:rsid w:val="002D51DD"/>
    <w:rsid w:val="002D548F"/>
    <w:rsid w:val="002D5C2A"/>
    <w:rsid w:val="002D70B2"/>
    <w:rsid w:val="002D7415"/>
    <w:rsid w:val="002D74FC"/>
    <w:rsid w:val="002D77FE"/>
    <w:rsid w:val="002D79F8"/>
    <w:rsid w:val="002D7E0F"/>
    <w:rsid w:val="002E02D0"/>
    <w:rsid w:val="002E0702"/>
    <w:rsid w:val="002E0802"/>
    <w:rsid w:val="002E08DD"/>
    <w:rsid w:val="002E0EEB"/>
    <w:rsid w:val="002E113C"/>
    <w:rsid w:val="002E2DA6"/>
    <w:rsid w:val="002E2DD6"/>
    <w:rsid w:val="002E34EB"/>
    <w:rsid w:val="002E4926"/>
    <w:rsid w:val="002E4944"/>
    <w:rsid w:val="002E5684"/>
    <w:rsid w:val="002E582F"/>
    <w:rsid w:val="002E58E2"/>
    <w:rsid w:val="002E64FA"/>
    <w:rsid w:val="002E6788"/>
    <w:rsid w:val="002E716A"/>
    <w:rsid w:val="002E729A"/>
    <w:rsid w:val="002E73E3"/>
    <w:rsid w:val="002E74A0"/>
    <w:rsid w:val="002E7EA2"/>
    <w:rsid w:val="002F01F9"/>
    <w:rsid w:val="002F06DD"/>
    <w:rsid w:val="002F095A"/>
    <w:rsid w:val="002F1DA3"/>
    <w:rsid w:val="002F20DB"/>
    <w:rsid w:val="002F2184"/>
    <w:rsid w:val="002F21C2"/>
    <w:rsid w:val="002F2B42"/>
    <w:rsid w:val="002F2D50"/>
    <w:rsid w:val="002F301C"/>
    <w:rsid w:val="002F3150"/>
    <w:rsid w:val="002F3180"/>
    <w:rsid w:val="002F379F"/>
    <w:rsid w:val="002F3804"/>
    <w:rsid w:val="002F3881"/>
    <w:rsid w:val="002F396F"/>
    <w:rsid w:val="002F401E"/>
    <w:rsid w:val="002F46EE"/>
    <w:rsid w:val="002F4B5D"/>
    <w:rsid w:val="002F5946"/>
    <w:rsid w:val="002F5A88"/>
    <w:rsid w:val="002F5AA7"/>
    <w:rsid w:val="002F5B20"/>
    <w:rsid w:val="002F5E0A"/>
    <w:rsid w:val="002F6831"/>
    <w:rsid w:val="002F6F5D"/>
    <w:rsid w:val="002F7097"/>
    <w:rsid w:val="002F72F3"/>
    <w:rsid w:val="002F7EA8"/>
    <w:rsid w:val="002F7F0F"/>
    <w:rsid w:val="0030067E"/>
    <w:rsid w:val="00300702"/>
    <w:rsid w:val="003019A6"/>
    <w:rsid w:val="00301B16"/>
    <w:rsid w:val="00301EF4"/>
    <w:rsid w:val="00301F26"/>
    <w:rsid w:val="00302D57"/>
    <w:rsid w:val="003030F2"/>
    <w:rsid w:val="00303334"/>
    <w:rsid w:val="00303489"/>
    <w:rsid w:val="00303CA7"/>
    <w:rsid w:val="00303FA9"/>
    <w:rsid w:val="0030461E"/>
    <w:rsid w:val="0030469C"/>
    <w:rsid w:val="00304788"/>
    <w:rsid w:val="0030482F"/>
    <w:rsid w:val="00305237"/>
    <w:rsid w:val="003058B6"/>
    <w:rsid w:val="00305BEC"/>
    <w:rsid w:val="00306238"/>
    <w:rsid w:val="00306ADC"/>
    <w:rsid w:val="003070B7"/>
    <w:rsid w:val="0030777F"/>
    <w:rsid w:val="00307C18"/>
    <w:rsid w:val="00307FB4"/>
    <w:rsid w:val="00307FD4"/>
    <w:rsid w:val="00310F54"/>
    <w:rsid w:val="00310F9A"/>
    <w:rsid w:val="003113CF"/>
    <w:rsid w:val="00311639"/>
    <w:rsid w:val="00311920"/>
    <w:rsid w:val="00311DE3"/>
    <w:rsid w:val="003120E5"/>
    <w:rsid w:val="00312609"/>
    <w:rsid w:val="0031265D"/>
    <w:rsid w:val="00312817"/>
    <w:rsid w:val="00312C2D"/>
    <w:rsid w:val="0031345A"/>
    <w:rsid w:val="00313662"/>
    <w:rsid w:val="00313B87"/>
    <w:rsid w:val="0031425C"/>
    <w:rsid w:val="00314774"/>
    <w:rsid w:val="00314941"/>
    <w:rsid w:val="00314C3B"/>
    <w:rsid w:val="003154CF"/>
    <w:rsid w:val="003156F7"/>
    <w:rsid w:val="00315CB3"/>
    <w:rsid w:val="003161CB"/>
    <w:rsid w:val="0031620B"/>
    <w:rsid w:val="00316297"/>
    <w:rsid w:val="0031683D"/>
    <w:rsid w:val="003171B5"/>
    <w:rsid w:val="00317633"/>
    <w:rsid w:val="00317BC2"/>
    <w:rsid w:val="003203AF"/>
    <w:rsid w:val="00320538"/>
    <w:rsid w:val="00320861"/>
    <w:rsid w:val="00320BCA"/>
    <w:rsid w:val="00321041"/>
    <w:rsid w:val="00321425"/>
    <w:rsid w:val="00321A7E"/>
    <w:rsid w:val="00321CF2"/>
    <w:rsid w:val="003221D8"/>
    <w:rsid w:val="003224ED"/>
    <w:rsid w:val="003229AE"/>
    <w:rsid w:val="00322B49"/>
    <w:rsid w:val="003237FD"/>
    <w:rsid w:val="00323E93"/>
    <w:rsid w:val="0032456C"/>
    <w:rsid w:val="0032507E"/>
    <w:rsid w:val="0032538A"/>
    <w:rsid w:val="00325787"/>
    <w:rsid w:val="00325FBF"/>
    <w:rsid w:val="003265DC"/>
    <w:rsid w:val="0032685B"/>
    <w:rsid w:val="00326C18"/>
    <w:rsid w:val="00326CD9"/>
    <w:rsid w:val="00326E05"/>
    <w:rsid w:val="00327653"/>
    <w:rsid w:val="00327CFC"/>
    <w:rsid w:val="00330464"/>
    <w:rsid w:val="003306E9"/>
    <w:rsid w:val="00330B42"/>
    <w:rsid w:val="003310B5"/>
    <w:rsid w:val="0033127C"/>
    <w:rsid w:val="0033137C"/>
    <w:rsid w:val="00331535"/>
    <w:rsid w:val="00331740"/>
    <w:rsid w:val="00331897"/>
    <w:rsid w:val="00331F94"/>
    <w:rsid w:val="00332996"/>
    <w:rsid w:val="00333161"/>
    <w:rsid w:val="003336B8"/>
    <w:rsid w:val="00333749"/>
    <w:rsid w:val="00333BA4"/>
    <w:rsid w:val="00334082"/>
    <w:rsid w:val="00334650"/>
    <w:rsid w:val="00334784"/>
    <w:rsid w:val="003351BA"/>
    <w:rsid w:val="00335712"/>
    <w:rsid w:val="003359DE"/>
    <w:rsid w:val="00335C13"/>
    <w:rsid w:val="0033603F"/>
    <w:rsid w:val="00336A02"/>
    <w:rsid w:val="00336FBA"/>
    <w:rsid w:val="003377DD"/>
    <w:rsid w:val="00337CCF"/>
    <w:rsid w:val="00337EFB"/>
    <w:rsid w:val="00337FBA"/>
    <w:rsid w:val="00337FCB"/>
    <w:rsid w:val="00337FD6"/>
    <w:rsid w:val="003400DC"/>
    <w:rsid w:val="00340696"/>
    <w:rsid w:val="003417F7"/>
    <w:rsid w:val="00341AB5"/>
    <w:rsid w:val="00341DE0"/>
    <w:rsid w:val="00342043"/>
    <w:rsid w:val="003421AF"/>
    <w:rsid w:val="00342E0C"/>
    <w:rsid w:val="003430A4"/>
    <w:rsid w:val="003438CE"/>
    <w:rsid w:val="00343EB8"/>
    <w:rsid w:val="00343F8B"/>
    <w:rsid w:val="003440B7"/>
    <w:rsid w:val="0034454D"/>
    <w:rsid w:val="003447CB"/>
    <w:rsid w:val="00344B59"/>
    <w:rsid w:val="00344D96"/>
    <w:rsid w:val="00344E45"/>
    <w:rsid w:val="00344FCC"/>
    <w:rsid w:val="0034519E"/>
    <w:rsid w:val="003453A9"/>
    <w:rsid w:val="00345416"/>
    <w:rsid w:val="003456CD"/>
    <w:rsid w:val="00345AB4"/>
    <w:rsid w:val="00345BB2"/>
    <w:rsid w:val="00345E33"/>
    <w:rsid w:val="0034617A"/>
    <w:rsid w:val="003461E1"/>
    <w:rsid w:val="00346F36"/>
    <w:rsid w:val="00350469"/>
    <w:rsid w:val="00350D42"/>
    <w:rsid w:val="00350F24"/>
    <w:rsid w:val="00351797"/>
    <w:rsid w:val="0035187B"/>
    <w:rsid w:val="00351AA4"/>
    <w:rsid w:val="00352334"/>
    <w:rsid w:val="0035240A"/>
    <w:rsid w:val="003526A3"/>
    <w:rsid w:val="00352A2A"/>
    <w:rsid w:val="00352A79"/>
    <w:rsid w:val="00352C99"/>
    <w:rsid w:val="003531DB"/>
    <w:rsid w:val="00353A23"/>
    <w:rsid w:val="00353B48"/>
    <w:rsid w:val="00353C44"/>
    <w:rsid w:val="003540ED"/>
    <w:rsid w:val="00354572"/>
    <w:rsid w:val="00354D4A"/>
    <w:rsid w:val="00355211"/>
    <w:rsid w:val="00355427"/>
    <w:rsid w:val="0035578E"/>
    <w:rsid w:val="00355EAF"/>
    <w:rsid w:val="00356202"/>
    <w:rsid w:val="0035648A"/>
    <w:rsid w:val="00356967"/>
    <w:rsid w:val="003573ED"/>
    <w:rsid w:val="00357488"/>
    <w:rsid w:val="00357738"/>
    <w:rsid w:val="00357878"/>
    <w:rsid w:val="003579BA"/>
    <w:rsid w:val="00357B8B"/>
    <w:rsid w:val="00360590"/>
    <w:rsid w:val="00360A31"/>
    <w:rsid w:val="0036180E"/>
    <w:rsid w:val="00361899"/>
    <w:rsid w:val="00361D0B"/>
    <w:rsid w:val="00362761"/>
    <w:rsid w:val="003628D8"/>
    <w:rsid w:val="00362EEC"/>
    <w:rsid w:val="00363955"/>
    <w:rsid w:val="00364A5F"/>
    <w:rsid w:val="00364DFD"/>
    <w:rsid w:val="00364E8C"/>
    <w:rsid w:val="00365E28"/>
    <w:rsid w:val="003665B1"/>
    <w:rsid w:val="00366715"/>
    <w:rsid w:val="0036679F"/>
    <w:rsid w:val="00366C67"/>
    <w:rsid w:val="00367AE5"/>
    <w:rsid w:val="00367D7D"/>
    <w:rsid w:val="00367FCA"/>
    <w:rsid w:val="003702B4"/>
    <w:rsid w:val="003709C1"/>
    <w:rsid w:val="00371270"/>
    <w:rsid w:val="0037131A"/>
    <w:rsid w:val="003715AA"/>
    <w:rsid w:val="00371A59"/>
    <w:rsid w:val="00371C2F"/>
    <w:rsid w:val="00371E1D"/>
    <w:rsid w:val="0037203E"/>
    <w:rsid w:val="00372179"/>
    <w:rsid w:val="003721CB"/>
    <w:rsid w:val="0037229B"/>
    <w:rsid w:val="0037281F"/>
    <w:rsid w:val="003729E6"/>
    <w:rsid w:val="00373334"/>
    <w:rsid w:val="003735EB"/>
    <w:rsid w:val="00373AD9"/>
    <w:rsid w:val="00373B39"/>
    <w:rsid w:val="0037421C"/>
    <w:rsid w:val="0037451D"/>
    <w:rsid w:val="00375B29"/>
    <w:rsid w:val="00377C15"/>
    <w:rsid w:val="00377D6B"/>
    <w:rsid w:val="003800D0"/>
    <w:rsid w:val="003801EC"/>
    <w:rsid w:val="00380AEC"/>
    <w:rsid w:val="00380B21"/>
    <w:rsid w:val="00380E47"/>
    <w:rsid w:val="0038137D"/>
    <w:rsid w:val="003815C8"/>
    <w:rsid w:val="00381FB1"/>
    <w:rsid w:val="00382103"/>
    <w:rsid w:val="00382985"/>
    <w:rsid w:val="00382FE8"/>
    <w:rsid w:val="0038308B"/>
    <w:rsid w:val="003832EC"/>
    <w:rsid w:val="003833D2"/>
    <w:rsid w:val="00383571"/>
    <w:rsid w:val="00383A6A"/>
    <w:rsid w:val="00384662"/>
    <w:rsid w:val="00384875"/>
    <w:rsid w:val="0038498E"/>
    <w:rsid w:val="00384B6A"/>
    <w:rsid w:val="00384CE3"/>
    <w:rsid w:val="00385629"/>
    <w:rsid w:val="00385BB7"/>
    <w:rsid w:val="00385E2F"/>
    <w:rsid w:val="00385E82"/>
    <w:rsid w:val="00385EC0"/>
    <w:rsid w:val="00385F00"/>
    <w:rsid w:val="00385F1C"/>
    <w:rsid w:val="003861A6"/>
    <w:rsid w:val="00386A4A"/>
    <w:rsid w:val="003875B5"/>
    <w:rsid w:val="0038792A"/>
    <w:rsid w:val="00387A51"/>
    <w:rsid w:val="00387CC6"/>
    <w:rsid w:val="00387CC7"/>
    <w:rsid w:val="00387FF1"/>
    <w:rsid w:val="0039007E"/>
    <w:rsid w:val="00390CFE"/>
    <w:rsid w:val="003913E5"/>
    <w:rsid w:val="003914BD"/>
    <w:rsid w:val="00391AE6"/>
    <w:rsid w:val="00391B19"/>
    <w:rsid w:val="00391D96"/>
    <w:rsid w:val="00391FB3"/>
    <w:rsid w:val="00392D05"/>
    <w:rsid w:val="003930BE"/>
    <w:rsid w:val="00393166"/>
    <w:rsid w:val="00394853"/>
    <w:rsid w:val="003948DA"/>
    <w:rsid w:val="003949B6"/>
    <w:rsid w:val="00394A09"/>
    <w:rsid w:val="00394A58"/>
    <w:rsid w:val="00394B89"/>
    <w:rsid w:val="00394C17"/>
    <w:rsid w:val="00395147"/>
    <w:rsid w:val="0039518C"/>
    <w:rsid w:val="0039524B"/>
    <w:rsid w:val="0039551B"/>
    <w:rsid w:val="00395558"/>
    <w:rsid w:val="00395BBF"/>
    <w:rsid w:val="00395FBF"/>
    <w:rsid w:val="003965B2"/>
    <w:rsid w:val="00396A57"/>
    <w:rsid w:val="00397614"/>
    <w:rsid w:val="00397619"/>
    <w:rsid w:val="003977DA"/>
    <w:rsid w:val="003978C3"/>
    <w:rsid w:val="00397B9C"/>
    <w:rsid w:val="00397BDB"/>
    <w:rsid w:val="003A0960"/>
    <w:rsid w:val="003A09B1"/>
    <w:rsid w:val="003A0F8F"/>
    <w:rsid w:val="003A128C"/>
    <w:rsid w:val="003A1758"/>
    <w:rsid w:val="003A1826"/>
    <w:rsid w:val="003A1F07"/>
    <w:rsid w:val="003A271D"/>
    <w:rsid w:val="003A282E"/>
    <w:rsid w:val="003A2EFF"/>
    <w:rsid w:val="003A364D"/>
    <w:rsid w:val="003A3FCB"/>
    <w:rsid w:val="003A401A"/>
    <w:rsid w:val="003A4286"/>
    <w:rsid w:val="003A43B4"/>
    <w:rsid w:val="003A554C"/>
    <w:rsid w:val="003A5AB6"/>
    <w:rsid w:val="003A60BF"/>
    <w:rsid w:val="003A6CFE"/>
    <w:rsid w:val="003A6DE7"/>
    <w:rsid w:val="003A7697"/>
    <w:rsid w:val="003A7849"/>
    <w:rsid w:val="003A7DE0"/>
    <w:rsid w:val="003A7E95"/>
    <w:rsid w:val="003B0B2D"/>
    <w:rsid w:val="003B0EAE"/>
    <w:rsid w:val="003B10C7"/>
    <w:rsid w:val="003B14CD"/>
    <w:rsid w:val="003B15A8"/>
    <w:rsid w:val="003B1EE1"/>
    <w:rsid w:val="003B2490"/>
    <w:rsid w:val="003B28BC"/>
    <w:rsid w:val="003B2C31"/>
    <w:rsid w:val="003B3777"/>
    <w:rsid w:val="003B3B73"/>
    <w:rsid w:val="003B3BBE"/>
    <w:rsid w:val="003B3D1F"/>
    <w:rsid w:val="003B3DE6"/>
    <w:rsid w:val="003B4AC8"/>
    <w:rsid w:val="003B4BCD"/>
    <w:rsid w:val="003B4C0C"/>
    <w:rsid w:val="003B5438"/>
    <w:rsid w:val="003B5E86"/>
    <w:rsid w:val="003B6FBC"/>
    <w:rsid w:val="003B7257"/>
    <w:rsid w:val="003B77C5"/>
    <w:rsid w:val="003B79B0"/>
    <w:rsid w:val="003B7A88"/>
    <w:rsid w:val="003B7C62"/>
    <w:rsid w:val="003B7E24"/>
    <w:rsid w:val="003C02CF"/>
    <w:rsid w:val="003C03C1"/>
    <w:rsid w:val="003C0659"/>
    <w:rsid w:val="003C175D"/>
    <w:rsid w:val="003C1862"/>
    <w:rsid w:val="003C1B12"/>
    <w:rsid w:val="003C1BA7"/>
    <w:rsid w:val="003C2338"/>
    <w:rsid w:val="003C23DB"/>
    <w:rsid w:val="003C26A4"/>
    <w:rsid w:val="003C2CDB"/>
    <w:rsid w:val="003C2F9D"/>
    <w:rsid w:val="003C32BA"/>
    <w:rsid w:val="003C3A3C"/>
    <w:rsid w:val="003C3F13"/>
    <w:rsid w:val="003C42CC"/>
    <w:rsid w:val="003C4B71"/>
    <w:rsid w:val="003C56E9"/>
    <w:rsid w:val="003C5894"/>
    <w:rsid w:val="003C5949"/>
    <w:rsid w:val="003C5C6B"/>
    <w:rsid w:val="003C5D82"/>
    <w:rsid w:val="003C5EA6"/>
    <w:rsid w:val="003C608A"/>
    <w:rsid w:val="003C609B"/>
    <w:rsid w:val="003C7450"/>
    <w:rsid w:val="003C7BC0"/>
    <w:rsid w:val="003D012D"/>
    <w:rsid w:val="003D02C1"/>
    <w:rsid w:val="003D0CE9"/>
    <w:rsid w:val="003D10F0"/>
    <w:rsid w:val="003D1534"/>
    <w:rsid w:val="003D15D7"/>
    <w:rsid w:val="003D1720"/>
    <w:rsid w:val="003D1775"/>
    <w:rsid w:val="003D1D9C"/>
    <w:rsid w:val="003D1F00"/>
    <w:rsid w:val="003D20B5"/>
    <w:rsid w:val="003D2457"/>
    <w:rsid w:val="003D26BC"/>
    <w:rsid w:val="003D287D"/>
    <w:rsid w:val="003D302B"/>
    <w:rsid w:val="003D3885"/>
    <w:rsid w:val="003D38D2"/>
    <w:rsid w:val="003D3F48"/>
    <w:rsid w:val="003D4418"/>
    <w:rsid w:val="003D49D2"/>
    <w:rsid w:val="003D4A91"/>
    <w:rsid w:val="003D4B27"/>
    <w:rsid w:val="003D5CFD"/>
    <w:rsid w:val="003D5EED"/>
    <w:rsid w:val="003D5F2A"/>
    <w:rsid w:val="003D6382"/>
    <w:rsid w:val="003D63A5"/>
    <w:rsid w:val="003D67B0"/>
    <w:rsid w:val="003D6FCA"/>
    <w:rsid w:val="003D7426"/>
    <w:rsid w:val="003D7AEC"/>
    <w:rsid w:val="003E0495"/>
    <w:rsid w:val="003E08F1"/>
    <w:rsid w:val="003E08F4"/>
    <w:rsid w:val="003E0BBE"/>
    <w:rsid w:val="003E0BF3"/>
    <w:rsid w:val="003E0C29"/>
    <w:rsid w:val="003E0C45"/>
    <w:rsid w:val="003E0EF1"/>
    <w:rsid w:val="003E1296"/>
    <w:rsid w:val="003E12FF"/>
    <w:rsid w:val="003E1429"/>
    <w:rsid w:val="003E1634"/>
    <w:rsid w:val="003E18B2"/>
    <w:rsid w:val="003E1921"/>
    <w:rsid w:val="003E22F6"/>
    <w:rsid w:val="003E2471"/>
    <w:rsid w:val="003E29F0"/>
    <w:rsid w:val="003E2C2C"/>
    <w:rsid w:val="003E2EAD"/>
    <w:rsid w:val="003E30D0"/>
    <w:rsid w:val="003E3695"/>
    <w:rsid w:val="003E3897"/>
    <w:rsid w:val="003E3D1B"/>
    <w:rsid w:val="003E4027"/>
    <w:rsid w:val="003E445C"/>
    <w:rsid w:val="003E45D3"/>
    <w:rsid w:val="003E46CB"/>
    <w:rsid w:val="003E5108"/>
    <w:rsid w:val="003E5151"/>
    <w:rsid w:val="003E5733"/>
    <w:rsid w:val="003E5A6B"/>
    <w:rsid w:val="003E5BC3"/>
    <w:rsid w:val="003E6C7F"/>
    <w:rsid w:val="003E6D03"/>
    <w:rsid w:val="003E7162"/>
    <w:rsid w:val="003F0175"/>
    <w:rsid w:val="003F0901"/>
    <w:rsid w:val="003F0A7C"/>
    <w:rsid w:val="003F0C22"/>
    <w:rsid w:val="003F0C40"/>
    <w:rsid w:val="003F1A6C"/>
    <w:rsid w:val="003F24FD"/>
    <w:rsid w:val="003F25A3"/>
    <w:rsid w:val="003F2935"/>
    <w:rsid w:val="003F3229"/>
    <w:rsid w:val="003F363D"/>
    <w:rsid w:val="003F3828"/>
    <w:rsid w:val="003F389E"/>
    <w:rsid w:val="003F40A7"/>
    <w:rsid w:val="003F554E"/>
    <w:rsid w:val="003F5EA4"/>
    <w:rsid w:val="003F6C2B"/>
    <w:rsid w:val="003F6F01"/>
    <w:rsid w:val="003F741E"/>
    <w:rsid w:val="003F769B"/>
    <w:rsid w:val="003F76BC"/>
    <w:rsid w:val="00400084"/>
    <w:rsid w:val="00400AFB"/>
    <w:rsid w:val="00400F6D"/>
    <w:rsid w:val="0040115C"/>
    <w:rsid w:val="0040193B"/>
    <w:rsid w:val="00401BCE"/>
    <w:rsid w:val="00401C87"/>
    <w:rsid w:val="00401D23"/>
    <w:rsid w:val="00402D2E"/>
    <w:rsid w:val="00402F4C"/>
    <w:rsid w:val="0040304D"/>
    <w:rsid w:val="004031B7"/>
    <w:rsid w:val="004037C9"/>
    <w:rsid w:val="00403C11"/>
    <w:rsid w:val="00404038"/>
    <w:rsid w:val="0040419F"/>
    <w:rsid w:val="004043D2"/>
    <w:rsid w:val="004045FD"/>
    <w:rsid w:val="0040484D"/>
    <w:rsid w:val="004049FC"/>
    <w:rsid w:val="004055B0"/>
    <w:rsid w:val="0040605E"/>
    <w:rsid w:val="004062AE"/>
    <w:rsid w:val="004066FB"/>
    <w:rsid w:val="004069B5"/>
    <w:rsid w:val="00406ECD"/>
    <w:rsid w:val="00407425"/>
    <w:rsid w:val="00407758"/>
    <w:rsid w:val="004078E1"/>
    <w:rsid w:val="00410416"/>
    <w:rsid w:val="0041067D"/>
    <w:rsid w:val="00410BA7"/>
    <w:rsid w:val="00410BEA"/>
    <w:rsid w:val="004110AE"/>
    <w:rsid w:val="004110E6"/>
    <w:rsid w:val="00411811"/>
    <w:rsid w:val="00411C02"/>
    <w:rsid w:val="00412063"/>
    <w:rsid w:val="0041277E"/>
    <w:rsid w:val="00412F46"/>
    <w:rsid w:val="00413264"/>
    <w:rsid w:val="00413507"/>
    <w:rsid w:val="004135AA"/>
    <w:rsid w:val="004137AD"/>
    <w:rsid w:val="00413C5C"/>
    <w:rsid w:val="0041406D"/>
    <w:rsid w:val="00414202"/>
    <w:rsid w:val="00415125"/>
    <w:rsid w:val="00415155"/>
    <w:rsid w:val="004151D9"/>
    <w:rsid w:val="0041524C"/>
    <w:rsid w:val="00415D87"/>
    <w:rsid w:val="00415DCA"/>
    <w:rsid w:val="00415E4A"/>
    <w:rsid w:val="0041605D"/>
    <w:rsid w:val="00416493"/>
    <w:rsid w:val="004164B0"/>
    <w:rsid w:val="0041652A"/>
    <w:rsid w:val="00416602"/>
    <w:rsid w:val="004168EC"/>
    <w:rsid w:val="00416EB8"/>
    <w:rsid w:val="0041755D"/>
    <w:rsid w:val="00417578"/>
    <w:rsid w:val="00417A2A"/>
    <w:rsid w:val="00417AD3"/>
    <w:rsid w:val="004200C1"/>
    <w:rsid w:val="004206C4"/>
    <w:rsid w:val="00420841"/>
    <w:rsid w:val="004209FD"/>
    <w:rsid w:val="00420EB7"/>
    <w:rsid w:val="00420F1C"/>
    <w:rsid w:val="0042138F"/>
    <w:rsid w:val="004214AC"/>
    <w:rsid w:val="00421568"/>
    <w:rsid w:val="00421B81"/>
    <w:rsid w:val="00421FB0"/>
    <w:rsid w:val="0042205D"/>
    <w:rsid w:val="00422226"/>
    <w:rsid w:val="00422458"/>
    <w:rsid w:val="0042286D"/>
    <w:rsid w:val="004229E7"/>
    <w:rsid w:val="00423081"/>
    <w:rsid w:val="004236EB"/>
    <w:rsid w:val="00423FB4"/>
    <w:rsid w:val="00424B6B"/>
    <w:rsid w:val="00424E15"/>
    <w:rsid w:val="0042504E"/>
    <w:rsid w:val="00425C09"/>
    <w:rsid w:val="0042654C"/>
    <w:rsid w:val="00426C21"/>
    <w:rsid w:val="00426D2C"/>
    <w:rsid w:val="0042703D"/>
    <w:rsid w:val="004271D9"/>
    <w:rsid w:val="00427966"/>
    <w:rsid w:val="00427EC7"/>
    <w:rsid w:val="00430900"/>
    <w:rsid w:val="004309DD"/>
    <w:rsid w:val="00430B52"/>
    <w:rsid w:val="00431533"/>
    <w:rsid w:val="0043161C"/>
    <w:rsid w:val="0043163E"/>
    <w:rsid w:val="0043195A"/>
    <w:rsid w:val="00432432"/>
    <w:rsid w:val="004324CF"/>
    <w:rsid w:val="00432782"/>
    <w:rsid w:val="00432B91"/>
    <w:rsid w:val="00433142"/>
    <w:rsid w:val="004331F4"/>
    <w:rsid w:val="00433718"/>
    <w:rsid w:val="004337F4"/>
    <w:rsid w:val="00433A7D"/>
    <w:rsid w:val="00434980"/>
    <w:rsid w:val="004354F7"/>
    <w:rsid w:val="00436290"/>
    <w:rsid w:val="00436916"/>
    <w:rsid w:val="0043695B"/>
    <w:rsid w:val="004369BF"/>
    <w:rsid w:val="00436A52"/>
    <w:rsid w:val="00436E24"/>
    <w:rsid w:val="00436F23"/>
    <w:rsid w:val="004372C0"/>
    <w:rsid w:val="004403B2"/>
    <w:rsid w:val="00440EF0"/>
    <w:rsid w:val="00441068"/>
    <w:rsid w:val="0044131B"/>
    <w:rsid w:val="0044138E"/>
    <w:rsid w:val="00441687"/>
    <w:rsid w:val="00441B60"/>
    <w:rsid w:val="00442A1A"/>
    <w:rsid w:val="00442A50"/>
    <w:rsid w:val="00442AFC"/>
    <w:rsid w:val="0044333E"/>
    <w:rsid w:val="00443901"/>
    <w:rsid w:val="00443F81"/>
    <w:rsid w:val="004447A2"/>
    <w:rsid w:val="00444CEF"/>
    <w:rsid w:val="004451D8"/>
    <w:rsid w:val="0044578D"/>
    <w:rsid w:val="00445B94"/>
    <w:rsid w:val="00446608"/>
    <w:rsid w:val="0044661B"/>
    <w:rsid w:val="00446648"/>
    <w:rsid w:val="00446979"/>
    <w:rsid w:val="00446B7A"/>
    <w:rsid w:val="004475B3"/>
    <w:rsid w:val="0044774F"/>
    <w:rsid w:val="004478F4"/>
    <w:rsid w:val="00447A95"/>
    <w:rsid w:val="00447DC2"/>
    <w:rsid w:val="00447E3B"/>
    <w:rsid w:val="0045014C"/>
    <w:rsid w:val="00450813"/>
    <w:rsid w:val="004508A3"/>
    <w:rsid w:val="004509A1"/>
    <w:rsid w:val="00451060"/>
    <w:rsid w:val="00451382"/>
    <w:rsid w:val="0045145B"/>
    <w:rsid w:val="00451532"/>
    <w:rsid w:val="004517DC"/>
    <w:rsid w:val="00451FB1"/>
    <w:rsid w:val="00452E89"/>
    <w:rsid w:val="0045368E"/>
    <w:rsid w:val="00453CD7"/>
    <w:rsid w:val="0045408A"/>
    <w:rsid w:val="00455406"/>
    <w:rsid w:val="00455479"/>
    <w:rsid w:val="00455625"/>
    <w:rsid w:val="00455C57"/>
    <w:rsid w:val="00455C61"/>
    <w:rsid w:val="00455E2E"/>
    <w:rsid w:val="00455E89"/>
    <w:rsid w:val="00455F4D"/>
    <w:rsid w:val="00456403"/>
    <w:rsid w:val="00456498"/>
    <w:rsid w:val="00456696"/>
    <w:rsid w:val="0045686D"/>
    <w:rsid w:val="00456A4A"/>
    <w:rsid w:val="00456AF9"/>
    <w:rsid w:val="00456E66"/>
    <w:rsid w:val="00456EEA"/>
    <w:rsid w:val="004575C8"/>
    <w:rsid w:val="00457912"/>
    <w:rsid w:val="0045795D"/>
    <w:rsid w:val="00460C8E"/>
    <w:rsid w:val="0046216D"/>
    <w:rsid w:val="00462669"/>
    <w:rsid w:val="00463174"/>
    <w:rsid w:val="00463468"/>
    <w:rsid w:val="004643FE"/>
    <w:rsid w:val="00464988"/>
    <w:rsid w:val="00464A87"/>
    <w:rsid w:val="00464F99"/>
    <w:rsid w:val="00465334"/>
    <w:rsid w:val="00465D97"/>
    <w:rsid w:val="00465F2F"/>
    <w:rsid w:val="00466200"/>
    <w:rsid w:val="004663E6"/>
    <w:rsid w:val="0046648E"/>
    <w:rsid w:val="00466C92"/>
    <w:rsid w:val="004676CF"/>
    <w:rsid w:val="00467BAB"/>
    <w:rsid w:val="00467C26"/>
    <w:rsid w:val="00467D19"/>
    <w:rsid w:val="00467F06"/>
    <w:rsid w:val="00470096"/>
    <w:rsid w:val="00470214"/>
    <w:rsid w:val="00470552"/>
    <w:rsid w:val="0047073B"/>
    <w:rsid w:val="00470CDC"/>
    <w:rsid w:val="00470E67"/>
    <w:rsid w:val="00470F5E"/>
    <w:rsid w:val="00471005"/>
    <w:rsid w:val="004717E9"/>
    <w:rsid w:val="00471C59"/>
    <w:rsid w:val="0047222A"/>
    <w:rsid w:val="00472456"/>
    <w:rsid w:val="00472474"/>
    <w:rsid w:val="004725E4"/>
    <w:rsid w:val="00472638"/>
    <w:rsid w:val="0047275D"/>
    <w:rsid w:val="00472C5C"/>
    <w:rsid w:val="00473020"/>
    <w:rsid w:val="004735FF"/>
    <w:rsid w:val="0047367B"/>
    <w:rsid w:val="00473A3E"/>
    <w:rsid w:val="00473D87"/>
    <w:rsid w:val="00473DC8"/>
    <w:rsid w:val="00474039"/>
    <w:rsid w:val="004745CF"/>
    <w:rsid w:val="004745D2"/>
    <w:rsid w:val="004746E6"/>
    <w:rsid w:val="00474C15"/>
    <w:rsid w:val="004753C4"/>
    <w:rsid w:val="004765D7"/>
    <w:rsid w:val="00476700"/>
    <w:rsid w:val="00476DF9"/>
    <w:rsid w:val="00476EFC"/>
    <w:rsid w:val="0048092F"/>
    <w:rsid w:val="00481AE6"/>
    <w:rsid w:val="00482020"/>
    <w:rsid w:val="00482500"/>
    <w:rsid w:val="00483481"/>
    <w:rsid w:val="00483781"/>
    <w:rsid w:val="00483901"/>
    <w:rsid w:val="004841BC"/>
    <w:rsid w:val="004843CB"/>
    <w:rsid w:val="004848F4"/>
    <w:rsid w:val="00485667"/>
    <w:rsid w:val="00485F96"/>
    <w:rsid w:val="0048600E"/>
    <w:rsid w:val="004860F4"/>
    <w:rsid w:val="00486BA6"/>
    <w:rsid w:val="00486F3D"/>
    <w:rsid w:val="00487225"/>
    <w:rsid w:val="00487784"/>
    <w:rsid w:val="00487891"/>
    <w:rsid w:val="004879C8"/>
    <w:rsid w:val="00487FC5"/>
    <w:rsid w:val="0049001A"/>
    <w:rsid w:val="00490607"/>
    <w:rsid w:val="00490823"/>
    <w:rsid w:val="00490CA4"/>
    <w:rsid w:val="00491876"/>
    <w:rsid w:val="004919BE"/>
    <w:rsid w:val="00492273"/>
    <w:rsid w:val="00492C46"/>
    <w:rsid w:val="00493115"/>
    <w:rsid w:val="00493163"/>
    <w:rsid w:val="00493819"/>
    <w:rsid w:val="00493AA9"/>
    <w:rsid w:val="00494259"/>
    <w:rsid w:val="00494704"/>
    <w:rsid w:val="004949A5"/>
    <w:rsid w:val="00494D6E"/>
    <w:rsid w:val="00495630"/>
    <w:rsid w:val="0049563D"/>
    <w:rsid w:val="00495C9B"/>
    <w:rsid w:val="004962EF"/>
    <w:rsid w:val="00496304"/>
    <w:rsid w:val="004965D0"/>
    <w:rsid w:val="00496659"/>
    <w:rsid w:val="00496783"/>
    <w:rsid w:val="00496810"/>
    <w:rsid w:val="00496899"/>
    <w:rsid w:val="00496BBA"/>
    <w:rsid w:val="00497239"/>
    <w:rsid w:val="00497432"/>
    <w:rsid w:val="00497FDA"/>
    <w:rsid w:val="004A0245"/>
    <w:rsid w:val="004A068A"/>
    <w:rsid w:val="004A0FC9"/>
    <w:rsid w:val="004A11EA"/>
    <w:rsid w:val="004A2D69"/>
    <w:rsid w:val="004A2E28"/>
    <w:rsid w:val="004A3037"/>
    <w:rsid w:val="004A34DA"/>
    <w:rsid w:val="004A3A6D"/>
    <w:rsid w:val="004A3D68"/>
    <w:rsid w:val="004A46AE"/>
    <w:rsid w:val="004A4D08"/>
    <w:rsid w:val="004A4F72"/>
    <w:rsid w:val="004A51AD"/>
    <w:rsid w:val="004A52DE"/>
    <w:rsid w:val="004A5EF5"/>
    <w:rsid w:val="004A6015"/>
    <w:rsid w:val="004A6084"/>
    <w:rsid w:val="004A6382"/>
    <w:rsid w:val="004A6520"/>
    <w:rsid w:val="004A666A"/>
    <w:rsid w:val="004A68A9"/>
    <w:rsid w:val="004A6933"/>
    <w:rsid w:val="004A7711"/>
    <w:rsid w:val="004A793F"/>
    <w:rsid w:val="004A794D"/>
    <w:rsid w:val="004A7A74"/>
    <w:rsid w:val="004A7C77"/>
    <w:rsid w:val="004B096E"/>
    <w:rsid w:val="004B0C4F"/>
    <w:rsid w:val="004B0FD9"/>
    <w:rsid w:val="004B18D4"/>
    <w:rsid w:val="004B1E03"/>
    <w:rsid w:val="004B1F22"/>
    <w:rsid w:val="004B23BD"/>
    <w:rsid w:val="004B25A7"/>
    <w:rsid w:val="004B27BF"/>
    <w:rsid w:val="004B30C1"/>
    <w:rsid w:val="004B3C7C"/>
    <w:rsid w:val="004B3F43"/>
    <w:rsid w:val="004B43ED"/>
    <w:rsid w:val="004B4481"/>
    <w:rsid w:val="004B4638"/>
    <w:rsid w:val="004B49FA"/>
    <w:rsid w:val="004B4BF8"/>
    <w:rsid w:val="004B4CFD"/>
    <w:rsid w:val="004B5264"/>
    <w:rsid w:val="004B58C5"/>
    <w:rsid w:val="004B5A91"/>
    <w:rsid w:val="004B5EFD"/>
    <w:rsid w:val="004B619E"/>
    <w:rsid w:val="004B6403"/>
    <w:rsid w:val="004B6B71"/>
    <w:rsid w:val="004B77FA"/>
    <w:rsid w:val="004B7827"/>
    <w:rsid w:val="004C0C06"/>
    <w:rsid w:val="004C10A1"/>
    <w:rsid w:val="004C1AF4"/>
    <w:rsid w:val="004C200F"/>
    <w:rsid w:val="004C2139"/>
    <w:rsid w:val="004C2704"/>
    <w:rsid w:val="004C378B"/>
    <w:rsid w:val="004C3B9E"/>
    <w:rsid w:val="004C3D5A"/>
    <w:rsid w:val="004C3F61"/>
    <w:rsid w:val="004C41EF"/>
    <w:rsid w:val="004C4201"/>
    <w:rsid w:val="004C47F3"/>
    <w:rsid w:val="004C4AE1"/>
    <w:rsid w:val="004C5473"/>
    <w:rsid w:val="004C54A4"/>
    <w:rsid w:val="004C593C"/>
    <w:rsid w:val="004C5AB5"/>
    <w:rsid w:val="004C5DB4"/>
    <w:rsid w:val="004C6056"/>
    <w:rsid w:val="004C67BB"/>
    <w:rsid w:val="004C6BA9"/>
    <w:rsid w:val="004C6C20"/>
    <w:rsid w:val="004C6C5C"/>
    <w:rsid w:val="004C6EC2"/>
    <w:rsid w:val="004C7176"/>
    <w:rsid w:val="004C75A8"/>
    <w:rsid w:val="004C796A"/>
    <w:rsid w:val="004C7A8F"/>
    <w:rsid w:val="004C7B25"/>
    <w:rsid w:val="004C7DD7"/>
    <w:rsid w:val="004C7FBF"/>
    <w:rsid w:val="004D0FC4"/>
    <w:rsid w:val="004D127F"/>
    <w:rsid w:val="004D1654"/>
    <w:rsid w:val="004D1E08"/>
    <w:rsid w:val="004D2500"/>
    <w:rsid w:val="004D254B"/>
    <w:rsid w:val="004D2B40"/>
    <w:rsid w:val="004D2C06"/>
    <w:rsid w:val="004D2CF3"/>
    <w:rsid w:val="004D2F4C"/>
    <w:rsid w:val="004D3681"/>
    <w:rsid w:val="004D38C5"/>
    <w:rsid w:val="004D3F06"/>
    <w:rsid w:val="004D508E"/>
    <w:rsid w:val="004D50BB"/>
    <w:rsid w:val="004D52AF"/>
    <w:rsid w:val="004D621F"/>
    <w:rsid w:val="004D64AD"/>
    <w:rsid w:val="004D6524"/>
    <w:rsid w:val="004D7172"/>
    <w:rsid w:val="004D7590"/>
    <w:rsid w:val="004D7E05"/>
    <w:rsid w:val="004E01E5"/>
    <w:rsid w:val="004E0748"/>
    <w:rsid w:val="004E0FEB"/>
    <w:rsid w:val="004E0FFB"/>
    <w:rsid w:val="004E1785"/>
    <w:rsid w:val="004E2235"/>
    <w:rsid w:val="004E2907"/>
    <w:rsid w:val="004E2F29"/>
    <w:rsid w:val="004E3C98"/>
    <w:rsid w:val="004E4264"/>
    <w:rsid w:val="004E47E2"/>
    <w:rsid w:val="004E49B9"/>
    <w:rsid w:val="004E4E05"/>
    <w:rsid w:val="004E5276"/>
    <w:rsid w:val="004E596A"/>
    <w:rsid w:val="004E5C08"/>
    <w:rsid w:val="004E5DB8"/>
    <w:rsid w:val="004E5DFE"/>
    <w:rsid w:val="004E64E4"/>
    <w:rsid w:val="004E654F"/>
    <w:rsid w:val="004E6615"/>
    <w:rsid w:val="004E672A"/>
    <w:rsid w:val="004E6859"/>
    <w:rsid w:val="004E7091"/>
    <w:rsid w:val="004E7D2E"/>
    <w:rsid w:val="004F029D"/>
    <w:rsid w:val="004F0300"/>
    <w:rsid w:val="004F06F2"/>
    <w:rsid w:val="004F0EA7"/>
    <w:rsid w:val="004F126F"/>
    <w:rsid w:val="004F15F1"/>
    <w:rsid w:val="004F1A48"/>
    <w:rsid w:val="004F1ACE"/>
    <w:rsid w:val="004F2325"/>
    <w:rsid w:val="004F2440"/>
    <w:rsid w:val="004F272E"/>
    <w:rsid w:val="004F289E"/>
    <w:rsid w:val="004F2D98"/>
    <w:rsid w:val="004F301A"/>
    <w:rsid w:val="004F3947"/>
    <w:rsid w:val="004F39CD"/>
    <w:rsid w:val="004F42A8"/>
    <w:rsid w:val="004F4448"/>
    <w:rsid w:val="004F4456"/>
    <w:rsid w:val="004F486A"/>
    <w:rsid w:val="004F4F8F"/>
    <w:rsid w:val="004F518B"/>
    <w:rsid w:val="004F52A5"/>
    <w:rsid w:val="004F5BC9"/>
    <w:rsid w:val="004F5D5A"/>
    <w:rsid w:val="004F5FCC"/>
    <w:rsid w:val="004F609F"/>
    <w:rsid w:val="004F6320"/>
    <w:rsid w:val="004F63C4"/>
    <w:rsid w:val="004F6490"/>
    <w:rsid w:val="004F6C60"/>
    <w:rsid w:val="004F6FA2"/>
    <w:rsid w:val="004F7334"/>
    <w:rsid w:val="004F7824"/>
    <w:rsid w:val="004F7CD6"/>
    <w:rsid w:val="004F7D77"/>
    <w:rsid w:val="005002F3"/>
    <w:rsid w:val="005005C4"/>
    <w:rsid w:val="00500833"/>
    <w:rsid w:val="00500EB4"/>
    <w:rsid w:val="00500F3F"/>
    <w:rsid w:val="00501CF9"/>
    <w:rsid w:val="00501D03"/>
    <w:rsid w:val="00501D1D"/>
    <w:rsid w:val="00502444"/>
    <w:rsid w:val="00502748"/>
    <w:rsid w:val="00502C14"/>
    <w:rsid w:val="0050324C"/>
    <w:rsid w:val="00503849"/>
    <w:rsid w:val="005039E3"/>
    <w:rsid w:val="00503CBD"/>
    <w:rsid w:val="0050416A"/>
    <w:rsid w:val="005056F8"/>
    <w:rsid w:val="00506097"/>
    <w:rsid w:val="00506413"/>
    <w:rsid w:val="005067CA"/>
    <w:rsid w:val="005069BC"/>
    <w:rsid w:val="005075DD"/>
    <w:rsid w:val="00507789"/>
    <w:rsid w:val="00507988"/>
    <w:rsid w:val="00507DAF"/>
    <w:rsid w:val="005104CF"/>
    <w:rsid w:val="00510F37"/>
    <w:rsid w:val="00510FD0"/>
    <w:rsid w:val="00511989"/>
    <w:rsid w:val="00511F55"/>
    <w:rsid w:val="005128D0"/>
    <w:rsid w:val="00512C51"/>
    <w:rsid w:val="00512C6F"/>
    <w:rsid w:val="00513117"/>
    <w:rsid w:val="0051330F"/>
    <w:rsid w:val="00513528"/>
    <w:rsid w:val="0051414E"/>
    <w:rsid w:val="00514418"/>
    <w:rsid w:val="0051460E"/>
    <w:rsid w:val="00514C8E"/>
    <w:rsid w:val="00514E12"/>
    <w:rsid w:val="00514E88"/>
    <w:rsid w:val="005151BF"/>
    <w:rsid w:val="0051555F"/>
    <w:rsid w:val="0051557C"/>
    <w:rsid w:val="005158EA"/>
    <w:rsid w:val="00516611"/>
    <w:rsid w:val="00516681"/>
    <w:rsid w:val="00517049"/>
    <w:rsid w:val="0051715E"/>
    <w:rsid w:val="00517503"/>
    <w:rsid w:val="005177F0"/>
    <w:rsid w:val="005179F2"/>
    <w:rsid w:val="00517D7F"/>
    <w:rsid w:val="00520412"/>
    <w:rsid w:val="005204CC"/>
    <w:rsid w:val="005208BA"/>
    <w:rsid w:val="00520F2A"/>
    <w:rsid w:val="0052146B"/>
    <w:rsid w:val="005214E3"/>
    <w:rsid w:val="00521BC4"/>
    <w:rsid w:val="00521DF2"/>
    <w:rsid w:val="0052242F"/>
    <w:rsid w:val="005236FB"/>
    <w:rsid w:val="005237C7"/>
    <w:rsid w:val="005238BC"/>
    <w:rsid w:val="00523A8C"/>
    <w:rsid w:val="00523DD9"/>
    <w:rsid w:val="00523EB9"/>
    <w:rsid w:val="00523FC0"/>
    <w:rsid w:val="0052472F"/>
    <w:rsid w:val="00524FB0"/>
    <w:rsid w:val="00525110"/>
    <w:rsid w:val="005254E1"/>
    <w:rsid w:val="00525D10"/>
    <w:rsid w:val="00525EDB"/>
    <w:rsid w:val="00526BA0"/>
    <w:rsid w:val="005270B5"/>
    <w:rsid w:val="005270C7"/>
    <w:rsid w:val="00530023"/>
    <w:rsid w:val="005304CF"/>
    <w:rsid w:val="00530F0F"/>
    <w:rsid w:val="00531F0E"/>
    <w:rsid w:val="00531FF2"/>
    <w:rsid w:val="00532DAA"/>
    <w:rsid w:val="0053305A"/>
    <w:rsid w:val="00533259"/>
    <w:rsid w:val="00533B4A"/>
    <w:rsid w:val="00533BAC"/>
    <w:rsid w:val="00533C1A"/>
    <w:rsid w:val="00533E03"/>
    <w:rsid w:val="00533E32"/>
    <w:rsid w:val="005348C0"/>
    <w:rsid w:val="0053520C"/>
    <w:rsid w:val="00535343"/>
    <w:rsid w:val="0053592D"/>
    <w:rsid w:val="00535B85"/>
    <w:rsid w:val="00535BBE"/>
    <w:rsid w:val="00535C01"/>
    <w:rsid w:val="0053604C"/>
    <w:rsid w:val="00537367"/>
    <w:rsid w:val="00537817"/>
    <w:rsid w:val="00537B55"/>
    <w:rsid w:val="0054003B"/>
    <w:rsid w:val="0054035B"/>
    <w:rsid w:val="005406F8"/>
    <w:rsid w:val="0054084B"/>
    <w:rsid w:val="0054114E"/>
    <w:rsid w:val="0054151D"/>
    <w:rsid w:val="005426CA"/>
    <w:rsid w:val="00543908"/>
    <w:rsid w:val="00543982"/>
    <w:rsid w:val="005439C6"/>
    <w:rsid w:val="00543CCD"/>
    <w:rsid w:val="005440BE"/>
    <w:rsid w:val="00544394"/>
    <w:rsid w:val="0054522F"/>
    <w:rsid w:val="00545240"/>
    <w:rsid w:val="005455D3"/>
    <w:rsid w:val="00545620"/>
    <w:rsid w:val="00545D07"/>
    <w:rsid w:val="005469F8"/>
    <w:rsid w:val="00546DB3"/>
    <w:rsid w:val="00546F46"/>
    <w:rsid w:val="00546F7D"/>
    <w:rsid w:val="0054703B"/>
    <w:rsid w:val="0054722B"/>
    <w:rsid w:val="0054784C"/>
    <w:rsid w:val="005506E7"/>
    <w:rsid w:val="005507CC"/>
    <w:rsid w:val="00550EAD"/>
    <w:rsid w:val="0055109B"/>
    <w:rsid w:val="005514F0"/>
    <w:rsid w:val="0055150D"/>
    <w:rsid w:val="00551658"/>
    <w:rsid w:val="0055183B"/>
    <w:rsid w:val="00551A4D"/>
    <w:rsid w:val="00551D18"/>
    <w:rsid w:val="00551D38"/>
    <w:rsid w:val="00551F98"/>
    <w:rsid w:val="00552156"/>
    <w:rsid w:val="005522F6"/>
    <w:rsid w:val="005523B8"/>
    <w:rsid w:val="0055250C"/>
    <w:rsid w:val="005527D0"/>
    <w:rsid w:val="005528EC"/>
    <w:rsid w:val="00552B77"/>
    <w:rsid w:val="00552CE4"/>
    <w:rsid w:val="00552EE7"/>
    <w:rsid w:val="00552EF7"/>
    <w:rsid w:val="005539E7"/>
    <w:rsid w:val="00553AC8"/>
    <w:rsid w:val="00553CCD"/>
    <w:rsid w:val="00553DA8"/>
    <w:rsid w:val="00553E3E"/>
    <w:rsid w:val="00553E81"/>
    <w:rsid w:val="0055472D"/>
    <w:rsid w:val="00554D8D"/>
    <w:rsid w:val="00555326"/>
    <w:rsid w:val="005559FC"/>
    <w:rsid w:val="00555ADB"/>
    <w:rsid w:val="00555D58"/>
    <w:rsid w:val="00555E28"/>
    <w:rsid w:val="005562CA"/>
    <w:rsid w:val="00556993"/>
    <w:rsid w:val="00556CE2"/>
    <w:rsid w:val="0055795D"/>
    <w:rsid w:val="00557AD3"/>
    <w:rsid w:val="00560214"/>
    <w:rsid w:val="005603C5"/>
    <w:rsid w:val="005609D2"/>
    <w:rsid w:val="00560F60"/>
    <w:rsid w:val="005617DC"/>
    <w:rsid w:val="00561ABE"/>
    <w:rsid w:val="005623F8"/>
    <w:rsid w:val="0056319E"/>
    <w:rsid w:val="005631F6"/>
    <w:rsid w:val="00564181"/>
    <w:rsid w:val="0056443F"/>
    <w:rsid w:val="00564709"/>
    <w:rsid w:val="0056472F"/>
    <w:rsid w:val="00564D0F"/>
    <w:rsid w:val="00564D62"/>
    <w:rsid w:val="005656C6"/>
    <w:rsid w:val="00565CBA"/>
    <w:rsid w:val="00565FF7"/>
    <w:rsid w:val="00566163"/>
    <w:rsid w:val="005663C2"/>
    <w:rsid w:val="00566DE7"/>
    <w:rsid w:val="0056715E"/>
    <w:rsid w:val="00567A08"/>
    <w:rsid w:val="00567E41"/>
    <w:rsid w:val="0057000D"/>
    <w:rsid w:val="00570A02"/>
    <w:rsid w:val="00570A86"/>
    <w:rsid w:val="00570B7D"/>
    <w:rsid w:val="005716FB"/>
    <w:rsid w:val="00571A83"/>
    <w:rsid w:val="00571AB4"/>
    <w:rsid w:val="00571B77"/>
    <w:rsid w:val="00571E0E"/>
    <w:rsid w:val="00572287"/>
    <w:rsid w:val="005725F8"/>
    <w:rsid w:val="00572AD0"/>
    <w:rsid w:val="00572DD9"/>
    <w:rsid w:val="00573442"/>
    <w:rsid w:val="00573A75"/>
    <w:rsid w:val="00573EBA"/>
    <w:rsid w:val="00573F91"/>
    <w:rsid w:val="00574542"/>
    <w:rsid w:val="005745AB"/>
    <w:rsid w:val="005746B7"/>
    <w:rsid w:val="005746DA"/>
    <w:rsid w:val="00574773"/>
    <w:rsid w:val="00574C6A"/>
    <w:rsid w:val="00575319"/>
    <w:rsid w:val="005754DF"/>
    <w:rsid w:val="005755C5"/>
    <w:rsid w:val="005756E9"/>
    <w:rsid w:val="00575EAE"/>
    <w:rsid w:val="00575F8F"/>
    <w:rsid w:val="00576080"/>
    <w:rsid w:val="005766A0"/>
    <w:rsid w:val="005770AD"/>
    <w:rsid w:val="005772DB"/>
    <w:rsid w:val="005778E9"/>
    <w:rsid w:val="00577D9A"/>
    <w:rsid w:val="00580314"/>
    <w:rsid w:val="0058049D"/>
    <w:rsid w:val="005808B4"/>
    <w:rsid w:val="005808DE"/>
    <w:rsid w:val="00580FB4"/>
    <w:rsid w:val="00580FD5"/>
    <w:rsid w:val="0058162A"/>
    <w:rsid w:val="00581682"/>
    <w:rsid w:val="00581A38"/>
    <w:rsid w:val="00581E35"/>
    <w:rsid w:val="0058203C"/>
    <w:rsid w:val="0058240F"/>
    <w:rsid w:val="005829E9"/>
    <w:rsid w:val="00582A08"/>
    <w:rsid w:val="00582A39"/>
    <w:rsid w:val="005834EE"/>
    <w:rsid w:val="005837A4"/>
    <w:rsid w:val="00583D0D"/>
    <w:rsid w:val="00583D2D"/>
    <w:rsid w:val="0058452E"/>
    <w:rsid w:val="00584A15"/>
    <w:rsid w:val="00584B2A"/>
    <w:rsid w:val="00584B8B"/>
    <w:rsid w:val="00584DEB"/>
    <w:rsid w:val="00585063"/>
    <w:rsid w:val="00585195"/>
    <w:rsid w:val="00585320"/>
    <w:rsid w:val="005856EF"/>
    <w:rsid w:val="00586744"/>
    <w:rsid w:val="0058690E"/>
    <w:rsid w:val="00586B02"/>
    <w:rsid w:val="00586BA5"/>
    <w:rsid w:val="00586CC6"/>
    <w:rsid w:val="00586E34"/>
    <w:rsid w:val="00586E5D"/>
    <w:rsid w:val="00586FA6"/>
    <w:rsid w:val="005870AB"/>
    <w:rsid w:val="005871AF"/>
    <w:rsid w:val="005909E8"/>
    <w:rsid w:val="00591299"/>
    <w:rsid w:val="00591440"/>
    <w:rsid w:val="00591CF4"/>
    <w:rsid w:val="005924C3"/>
    <w:rsid w:val="00592775"/>
    <w:rsid w:val="0059360F"/>
    <w:rsid w:val="00593C0A"/>
    <w:rsid w:val="00594022"/>
    <w:rsid w:val="005940E0"/>
    <w:rsid w:val="0059432B"/>
    <w:rsid w:val="0059448B"/>
    <w:rsid w:val="005944E1"/>
    <w:rsid w:val="00595113"/>
    <w:rsid w:val="005956EF"/>
    <w:rsid w:val="00596AFE"/>
    <w:rsid w:val="00596CD8"/>
    <w:rsid w:val="00597421"/>
    <w:rsid w:val="005A01C9"/>
    <w:rsid w:val="005A0359"/>
    <w:rsid w:val="005A0A89"/>
    <w:rsid w:val="005A0D6E"/>
    <w:rsid w:val="005A0DF5"/>
    <w:rsid w:val="005A0E0A"/>
    <w:rsid w:val="005A0E7E"/>
    <w:rsid w:val="005A109D"/>
    <w:rsid w:val="005A148C"/>
    <w:rsid w:val="005A1863"/>
    <w:rsid w:val="005A18DE"/>
    <w:rsid w:val="005A19A5"/>
    <w:rsid w:val="005A1A44"/>
    <w:rsid w:val="005A1ABC"/>
    <w:rsid w:val="005A1ACB"/>
    <w:rsid w:val="005A2281"/>
    <w:rsid w:val="005A2300"/>
    <w:rsid w:val="005A2633"/>
    <w:rsid w:val="005A26B7"/>
    <w:rsid w:val="005A2F75"/>
    <w:rsid w:val="005A2F82"/>
    <w:rsid w:val="005A32FA"/>
    <w:rsid w:val="005A334C"/>
    <w:rsid w:val="005A3400"/>
    <w:rsid w:val="005A3509"/>
    <w:rsid w:val="005A35ED"/>
    <w:rsid w:val="005A3ACA"/>
    <w:rsid w:val="005A4288"/>
    <w:rsid w:val="005A4682"/>
    <w:rsid w:val="005A49FD"/>
    <w:rsid w:val="005A54D8"/>
    <w:rsid w:val="005A64AA"/>
    <w:rsid w:val="005A7193"/>
    <w:rsid w:val="005A7478"/>
    <w:rsid w:val="005B0317"/>
    <w:rsid w:val="005B0DE2"/>
    <w:rsid w:val="005B10DD"/>
    <w:rsid w:val="005B117D"/>
    <w:rsid w:val="005B1CAE"/>
    <w:rsid w:val="005B1F66"/>
    <w:rsid w:val="005B2A6D"/>
    <w:rsid w:val="005B2D47"/>
    <w:rsid w:val="005B2DB2"/>
    <w:rsid w:val="005B32DC"/>
    <w:rsid w:val="005B348A"/>
    <w:rsid w:val="005B3741"/>
    <w:rsid w:val="005B379C"/>
    <w:rsid w:val="005B39BC"/>
    <w:rsid w:val="005B3A35"/>
    <w:rsid w:val="005B3A77"/>
    <w:rsid w:val="005B47A4"/>
    <w:rsid w:val="005B509F"/>
    <w:rsid w:val="005B5285"/>
    <w:rsid w:val="005B54A0"/>
    <w:rsid w:val="005B595C"/>
    <w:rsid w:val="005B5BFE"/>
    <w:rsid w:val="005B5F51"/>
    <w:rsid w:val="005B6889"/>
    <w:rsid w:val="005B6C47"/>
    <w:rsid w:val="005B6D0C"/>
    <w:rsid w:val="005B6E5E"/>
    <w:rsid w:val="005B7357"/>
    <w:rsid w:val="005B75D0"/>
    <w:rsid w:val="005B7784"/>
    <w:rsid w:val="005C0DD9"/>
    <w:rsid w:val="005C10B3"/>
    <w:rsid w:val="005C1131"/>
    <w:rsid w:val="005C1616"/>
    <w:rsid w:val="005C1F9F"/>
    <w:rsid w:val="005C2299"/>
    <w:rsid w:val="005C2582"/>
    <w:rsid w:val="005C2A54"/>
    <w:rsid w:val="005C3F14"/>
    <w:rsid w:val="005C3F85"/>
    <w:rsid w:val="005C45BE"/>
    <w:rsid w:val="005C4AB5"/>
    <w:rsid w:val="005C4B63"/>
    <w:rsid w:val="005C4CDB"/>
    <w:rsid w:val="005C5352"/>
    <w:rsid w:val="005C56FC"/>
    <w:rsid w:val="005C5AFD"/>
    <w:rsid w:val="005C67EF"/>
    <w:rsid w:val="005C6AC8"/>
    <w:rsid w:val="005C71F6"/>
    <w:rsid w:val="005C7687"/>
    <w:rsid w:val="005C7CC5"/>
    <w:rsid w:val="005D000E"/>
    <w:rsid w:val="005D01D5"/>
    <w:rsid w:val="005D02C3"/>
    <w:rsid w:val="005D09F9"/>
    <w:rsid w:val="005D0F7B"/>
    <w:rsid w:val="005D1040"/>
    <w:rsid w:val="005D117F"/>
    <w:rsid w:val="005D1466"/>
    <w:rsid w:val="005D1F74"/>
    <w:rsid w:val="005D266C"/>
    <w:rsid w:val="005D285C"/>
    <w:rsid w:val="005D2F87"/>
    <w:rsid w:val="005D3150"/>
    <w:rsid w:val="005D42F4"/>
    <w:rsid w:val="005D51C8"/>
    <w:rsid w:val="005D5767"/>
    <w:rsid w:val="005D67BC"/>
    <w:rsid w:val="005D6EE3"/>
    <w:rsid w:val="005D7389"/>
    <w:rsid w:val="005D7CBE"/>
    <w:rsid w:val="005E0019"/>
    <w:rsid w:val="005E0287"/>
    <w:rsid w:val="005E0451"/>
    <w:rsid w:val="005E0638"/>
    <w:rsid w:val="005E0B70"/>
    <w:rsid w:val="005E15D1"/>
    <w:rsid w:val="005E18AB"/>
    <w:rsid w:val="005E2694"/>
    <w:rsid w:val="005E2A50"/>
    <w:rsid w:val="005E2B14"/>
    <w:rsid w:val="005E2E35"/>
    <w:rsid w:val="005E3415"/>
    <w:rsid w:val="005E368D"/>
    <w:rsid w:val="005E392B"/>
    <w:rsid w:val="005E3C53"/>
    <w:rsid w:val="005E3F8B"/>
    <w:rsid w:val="005E4526"/>
    <w:rsid w:val="005E479F"/>
    <w:rsid w:val="005E492B"/>
    <w:rsid w:val="005E4AEC"/>
    <w:rsid w:val="005E4BB7"/>
    <w:rsid w:val="005E5608"/>
    <w:rsid w:val="005E56F9"/>
    <w:rsid w:val="005E6DA7"/>
    <w:rsid w:val="005E7490"/>
    <w:rsid w:val="005E76F4"/>
    <w:rsid w:val="005F036A"/>
    <w:rsid w:val="005F03C9"/>
    <w:rsid w:val="005F04F6"/>
    <w:rsid w:val="005F0C8C"/>
    <w:rsid w:val="005F0F28"/>
    <w:rsid w:val="005F1246"/>
    <w:rsid w:val="005F1E85"/>
    <w:rsid w:val="005F22B2"/>
    <w:rsid w:val="005F246C"/>
    <w:rsid w:val="005F25E2"/>
    <w:rsid w:val="005F278F"/>
    <w:rsid w:val="005F27D8"/>
    <w:rsid w:val="005F2A6A"/>
    <w:rsid w:val="005F2CB9"/>
    <w:rsid w:val="005F2E04"/>
    <w:rsid w:val="005F3162"/>
    <w:rsid w:val="005F384F"/>
    <w:rsid w:val="005F4095"/>
    <w:rsid w:val="005F4652"/>
    <w:rsid w:val="005F4DFD"/>
    <w:rsid w:val="005F5339"/>
    <w:rsid w:val="005F5751"/>
    <w:rsid w:val="005F5B1C"/>
    <w:rsid w:val="005F5BFE"/>
    <w:rsid w:val="005F612B"/>
    <w:rsid w:val="005F6252"/>
    <w:rsid w:val="005F6739"/>
    <w:rsid w:val="005F6BC4"/>
    <w:rsid w:val="005F7592"/>
    <w:rsid w:val="005F789A"/>
    <w:rsid w:val="005F7A6D"/>
    <w:rsid w:val="006002BD"/>
    <w:rsid w:val="00600877"/>
    <w:rsid w:val="00600C65"/>
    <w:rsid w:val="00600E83"/>
    <w:rsid w:val="00600FF3"/>
    <w:rsid w:val="006018F8"/>
    <w:rsid w:val="00601A10"/>
    <w:rsid w:val="00601A37"/>
    <w:rsid w:val="00601D1C"/>
    <w:rsid w:val="00601E5D"/>
    <w:rsid w:val="00602469"/>
    <w:rsid w:val="006031EA"/>
    <w:rsid w:val="00603D9F"/>
    <w:rsid w:val="006043D7"/>
    <w:rsid w:val="0060455D"/>
    <w:rsid w:val="00604A31"/>
    <w:rsid w:val="00604B42"/>
    <w:rsid w:val="00605535"/>
    <w:rsid w:val="006059E1"/>
    <w:rsid w:val="00605B6D"/>
    <w:rsid w:val="00606B3F"/>
    <w:rsid w:val="00606D3E"/>
    <w:rsid w:val="006075C7"/>
    <w:rsid w:val="006078AC"/>
    <w:rsid w:val="00607C76"/>
    <w:rsid w:val="006104A8"/>
    <w:rsid w:val="0061061D"/>
    <w:rsid w:val="00610E34"/>
    <w:rsid w:val="00610E4A"/>
    <w:rsid w:val="0061254B"/>
    <w:rsid w:val="00612656"/>
    <w:rsid w:val="00612688"/>
    <w:rsid w:val="0061291B"/>
    <w:rsid w:val="00612CD8"/>
    <w:rsid w:val="00612E0A"/>
    <w:rsid w:val="006131F6"/>
    <w:rsid w:val="006137CC"/>
    <w:rsid w:val="00613A66"/>
    <w:rsid w:val="00613ACD"/>
    <w:rsid w:val="00613C29"/>
    <w:rsid w:val="00613F2F"/>
    <w:rsid w:val="0061447C"/>
    <w:rsid w:val="0061462D"/>
    <w:rsid w:val="00615252"/>
    <w:rsid w:val="00615B38"/>
    <w:rsid w:val="00615C13"/>
    <w:rsid w:val="006160D8"/>
    <w:rsid w:val="0061630F"/>
    <w:rsid w:val="00616549"/>
    <w:rsid w:val="0061671E"/>
    <w:rsid w:val="00616784"/>
    <w:rsid w:val="00616AD4"/>
    <w:rsid w:val="00616BC1"/>
    <w:rsid w:val="00616E38"/>
    <w:rsid w:val="00617103"/>
    <w:rsid w:val="00617406"/>
    <w:rsid w:val="00617CB8"/>
    <w:rsid w:val="00617FD7"/>
    <w:rsid w:val="0062027E"/>
    <w:rsid w:val="006205DE"/>
    <w:rsid w:val="00620E83"/>
    <w:rsid w:val="006211ED"/>
    <w:rsid w:val="006215AF"/>
    <w:rsid w:val="006217AD"/>
    <w:rsid w:val="00621ACC"/>
    <w:rsid w:val="00621DC6"/>
    <w:rsid w:val="00622075"/>
    <w:rsid w:val="006227E9"/>
    <w:rsid w:val="00622A92"/>
    <w:rsid w:val="00622F50"/>
    <w:rsid w:val="006231D3"/>
    <w:rsid w:val="006231EB"/>
    <w:rsid w:val="00623438"/>
    <w:rsid w:val="006238CB"/>
    <w:rsid w:val="006238F0"/>
    <w:rsid w:val="00623BBA"/>
    <w:rsid w:val="00623CDF"/>
    <w:rsid w:val="00624DD4"/>
    <w:rsid w:val="00624FBB"/>
    <w:rsid w:val="00625161"/>
    <w:rsid w:val="006257D0"/>
    <w:rsid w:val="00625B48"/>
    <w:rsid w:val="006262F5"/>
    <w:rsid w:val="00626457"/>
    <w:rsid w:val="00626AEE"/>
    <w:rsid w:val="00626AF8"/>
    <w:rsid w:val="00626D1F"/>
    <w:rsid w:val="0062727B"/>
    <w:rsid w:val="00630363"/>
    <w:rsid w:val="00630A1E"/>
    <w:rsid w:val="00630B6B"/>
    <w:rsid w:val="00630CDB"/>
    <w:rsid w:val="00631693"/>
    <w:rsid w:val="00631782"/>
    <w:rsid w:val="00631B34"/>
    <w:rsid w:val="00632A64"/>
    <w:rsid w:val="00632CD0"/>
    <w:rsid w:val="00632FA0"/>
    <w:rsid w:val="006338CB"/>
    <w:rsid w:val="0063408B"/>
    <w:rsid w:val="00634101"/>
    <w:rsid w:val="00634229"/>
    <w:rsid w:val="006344FF"/>
    <w:rsid w:val="0063451C"/>
    <w:rsid w:val="00634586"/>
    <w:rsid w:val="0063489A"/>
    <w:rsid w:val="006349A8"/>
    <w:rsid w:val="006357CD"/>
    <w:rsid w:val="00635961"/>
    <w:rsid w:val="00635AC4"/>
    <w:rsid w:val="00635EED"/>
    <w:rsid w:val="00635FA0"/>
    <w:rsid w:val="006366CB"/>
    <w:rsid w:val="006368DD"/>
    <w:rsid w:val="00636B61"/>
    <w:rsid w:val="00636F25"/>
    <w:rsid w:val="00636F95"/>
    <w:rsid w:val="00637042"/>
    <w:rsid w:val="00637154"/>
    <w:rsid w:val="006375CF"/>
    <w:rsid w:val="0063789B"/>
    <w:rsid w:val="006404E1"/>
    <w:rsid w:val="00640525"/>
    <w:rsid w:val="006405F8"/>
    <w:rsid w:val="00640FC4"/>
    <w:rsid w:val="0064104C"/>
    <w:rsid w:val="006413C4"/>
    <w:rsid w:val="00641555"/>
    <w:rsid w:val="006418B1"/>
    <w:rsid w:val="00641C25"/>
    <w:rsid w:val="006424D6"/>
    <w:rsid w:val="00642A3A"/>
    <w:rsid w:val="006432E2"/>
    <w:rsid w:val="00643473"/>
    <w:rsid w:val="0064361C"/>
    <w:rsid w:val="00643634"/>
    <w:rsid w:val="00643CE1"/>
    <w:rsid w:val="006446E9"/>
    <w:rsid w:val="0064498E"/>
    <w:rsid w:val="0064544E"/>
    <w:rsid w:val="006459B7"/>
    <w:rsid w:val="00645F76"/>
    <w:rsid w:val="00646025"/>
    <w:rsid w:val="006466E7"/>
    <w:rsid w:val="00646D03"/>
    <w:rsid w:val="006470AF"/>
    <w:rsid w:val="0064751D"/>
    <w:rsid w:val="00647BA7"/>
    <w:rsid w:val="00647D16"/>
    <w:rsid w:val="00647D87"/>
    <w:rsid w:val="0065036F"/>
    <w:rsid w:val="006504E2"/>
    <w:rsid w:val="0065055D"/>
    <w:rsid w:val="006509E3"/>
    <w:rsid w:val="0065143B"/>
    <w:rsid w:val="006514BE"/>
    <w:rsid w:val="00651ADF"/>
    <w:rsid w:val="00651C51"/>
    <w:rsid w:val="00652644"/>
    <w:rsid w:val="00652930"/>
    <w:rsid w:val="0065334C"/>
    <w:rsid w:val="0065361D"/>
    <w:rsid w:val="006538AD"/>
    <w:rsid w:val="006539CF"/>
    <w:rsid w:val="006539EE"/>
    <w:rsid w:val="00653FF2"/>
    <w:rsid w:val="0065507C"/>
    <w:rsid w:val="00655249"/>
    <w:rsid w:val="00655F2D"/>
    <w:rsid w:val="00655F8A"/>
    <w:rsid w:val="00656C01"/>
    <w:rsid w:val="0065782A"/>
    <w:rsid w:val="006579DA"/>
    <w:rsid w:val="00660029"/>
    <w:rsid w:val="006600C3"/>
    <w:rsid w:val="0066049C"/>
    <w:rsid w:val="0066086E"/>
    <w:rsid w:val="006609FF"/>
    <w:rsid w:val="00661920"/>
    <w:rsid w:val="00661FF1"/>
    <w:rsid w:val="00662530"/>
    <w:rsid w:val="0066277C"/>
    <w:rsid w:val="006642E9"/>
    <w:rsid w:val="00664312"/>
    <w:rsid w:val="0066450C"/>
    <w:rsid w:val="00664538"/>
    <w:rsid w:val="0066453E"/>
    <w:rsid w:val="00664619"/>
    <w:rsid w:val="00664819"/>
    <w:rsid w:val="006648E7"/>
    <w:rsid w:val="0066498F"/>
    <w:rsid w:val="006655BC"/>
    <w:rsid w:val="006655DA"/>
    <w:rsid w:val="006658BE"/>
    <w:rsid w:val="00665D9E"/>
    <w:rsid w:val="00665E3A"/>
    <w:rsid w:val="00665EBF"/>
    <w:rsid w:val="00666300"/>
    <w:rsid w:val="00666743"/>
    <w:rsid w:val="00666C75"/>
    <w:rsid w:val="00666DE7"/>
    <w:rsid w:val="00667317"/>
    <w:rsid w:val="00667414"/>
    <w:rsid w:val="00667AA7"/>
    <w:rsid w:val="00667CB1"/>
    <w:rsid w:val="00667EB0"/>
    <w:rsid w:val="006700C0"/>
    <w:rsid w:val="00670918"/>
    <w:rsid w:val="00670922"/>
    <w:rsid w:val="00671004"/>
    <w:rsid w:val="006712B2"/>
    <w:rsid w:val="00671344"/>
    <w:rsid w:val="00671388"/>
    <w:rsid w:val="006719BD"/>
    <w:rsid w:val="00671F1C"/>
    <w:rsid w:val="00671F63"/>
    <w:rsid w:val="00672184"/>
    <w:rsid w:val="00672477"/>
    <w:rsid w:val="0067251C"/>
    <w:rsid w:val="00672F70"/>
    <w:rsid w:val="00673853"/>
    <w:rsid w:val="006738F3"/>
    <w:rsid w:val="00673A47"/>
    <w:rsid w:val="006740D5"/>
    <w:rsid w:val="00674737"/>
    <w:rsid w:val="006748C3"/>
    <w:rsid w:val="006752DD"/>
    <w:rsid w:val="006754D0"/>
    <w:rsid w:val="00675ED6"/>
    <w:rsid w:val="006760A7"/>
    <w:rsid w:val="00676187"/>
    <w:rsid w:val="0067652E"/>
    <w:rsid w:val="0067702D"/>
    <w:rsid w:val="00677475"/>
    <w:rsid w:val="006774C5"/>
    <w:rsid w:val="00677524"/>
    <w:rsid w:val="00677C4D"/>
    <w:rsid w:val="00680FCB"/>
    <w:rsid w:val="00681C38"/>
    <w:rsid w:val="00681C68"/>
    <w:rsid w:val="00681CC1"/>
    <w:rsid w:val="00682672"/>
    <w:rsid w:val="006832B2"/>
    <w:rsid w:val="006837AF"/>
    <w:rsid w:val="0068389F"/>
    <w:rsid w:val="00683916"/>
    <w:rsid w:val="00684371"/>
    <w:rsid w:val="00684517"/>
    <w:rsid w:val="0068452D"/>
    <w:rsid w:val="006845C3"/>
    <w:rsid w:val="006846D9"/>
    <w:rsid w:val="00684707"/>
    <w:rsid w:val="00684720"/>
    <w:rsid w:val="006847E3"/>
    <w:rsid w:val="00684C1F"/>
    <w:rsid w:val="00685152"/>
    <w:rsid w:val="00685338"/>
    <w:rsid w:val="00685357"/>
    <w:rsid w:val="0068564B"/>
    <w:rsid w:val="00685A00"/>
    <w:rsid w:val="00685A1D"/>
    <w:rsid w:val="00685DE7"/>
    <w:rsid w:val="006868B0"/>
    <w:rsid w:val="00686B08"/>
    <w:rsid w:val="0068712B"/>
    <w:rsid w:val="00687D19"/>
    <w:rsid w:val="00687E32"/>
    <w:rsid w:val="0069014B"/>
    <w:rsid w:val="00690E8B"/>
    <w:rsid w:val="00690FCF"/>
    <w:rsid w:val="006913E1"/>
    <w:rsid w:val="0069160A"/>
    <w:rsid w:val="006918EB"/>
    <w:rsid w:val="00691DAC"/>
    <w:rsid w:val="006921D9"/>
    <w:rsid w:val="006928C8"/>
    <w:rsid w:val="00692DE1"/>
    <w:rsid w:val="00692F36"/>
    <w:rsid w:val="006939F0"/>
    <w:rsid w:val="00693AB1"/>
    <w:rsid w:val="00693AFC"/>
    <w:rsid w:val="00693B32"/>
    <w:rsid w:val="00693C32"/>
    <w:rsid w:val="00693E13"/>
    <w:rsid w:val="0069405C"/>
    <w:rsid w:val="006942BD"/>
    <w:rsid w:val="006942DA"/>
    <w:rsid w:val="00694382"/>
    <w:rsid w:val="006945F8"/>
    <w:rsid w:val="0069489D"/>
    <w:rsid w:val="006948AF"/>
    <w:rsid w:val="0069561F"/>
    <w:rsid w:val="00695662"/>
    <w:rsid w:val="006957E3"/>
    <w:rsid w:val="00695FB7"/>
    <w:rsid w:val="00696197"/>
    <w:rsid w:val="00696270"/>
    <w:rsid w:val="00697AC1"/>
    <w:rsid w:val="006A0031"/>
    <w:rsid w:val="006A0403"/>
    <w:rsid w:val="006A04B6"/>
    <w:rsid w:val="006A0784"/>
    <w:rsid w:val="006A0B32"/>
    <w:rsid w:val="006A0EDC"/>
    <w:rsid w:val="006A12D0"/>
    <w:rsid w:val="006A1492"/>
    <w:rsid w:val="006A224A"/>
    <w:rsid w:val="006A2374"/>
    <w:rsid w:val="006A3493"/>
    <w:rsid w:val="006A3694"/>
    <w:rsid w:val="006A4A4F"/>
    <w:rsid w:val="006A4E02"/>
    <w:rsid w:val="006A4F6B"/>
    <w:rsid w:val="006A5067"/>
    <w:rsid w:val="006A542E"/>
    <w:rsid w:val="006A54F9"/>
    <w:rsid w:val="006A560C"/>
    <w:rsid w:val="006A5A83"/>
    <w:rsid w:val="006A692A"/>
    <w:rsid w:val="006A7619"/>
    <w:rsid w:val="006A799B"/>
    <w:rsid w:val="006A7A42"/>
    <w:rsid w:val="006A7BF0"/>
    <w:rsid w:val="006B0003"/>
    <w:rsid w:val="006B0150"/>
    <w:rsid w:val="006B0212"/>
    <w:rsid w:val="006B0300"/>
    <w:rsid w:val="006B043D"/>
    <w:rsid w:val="006B07B0"/>
    <w:rsid w:val="006B088B"/>
    <w:rsid w:val="006B1AE1"/>
    <w:rsid w:val="006B1B37"/>
    <w:rsid w:val="006B2207"/>
    <w:rsid w:val="006B245E"/>
    <w:rsid w:val="006B3383"/>
    <w:rsid w:val="006B341A"/>
    <w:rsid w:val="006B358E"/>
    <w:rsid w:val="006B3637"/>
    <w:rsid w:val="006B3BA1"/>
    <w:rsid w:val="006B42B7"/>
    <w:rsid w:val="006B481B"/>
    <w:rsid w:val="006B5239"/>
    <w:rsid w:val="006B624E"/>
    <w:rsid w:val="006B734B"/>
    <w:rsid w:val="006B7B23"/>
    <w:rsid w:val="006B7D26"/>
    <w:rsid w:val="006B7DB1"/>
    <w:rsid w:val="006B7F09"/>
    <w:rsid w:val="006C0A1C"/>
    <w:rsid w:val="006C0B5E"/>
    <w:rsid w:val="006C0E27"/>
    <w:rsid w:val="006C0EC1"/>
    <w:rsid w:val="006C1832"/>
    <w:rsid w:val="006C1BF5"/>
    <w:rsid w:val="006C2BF3"/>
    <w:rsid w:val="006C3118"/>
    <w:rsid w:val="006C4B35"/>
    <w:rsid w:val="006C514D"/>
    <w:rsid w:val="006C53D1"/>
    <w:rsid w:val="006C5447"/>
    <w:rsid w:val="006C5C47"/>
    <w:rsid w:val="006C6197"/>
    <w:rsid w:val="006C6569"/>
    <w:rsid w:val="006C6686"/>
    <w:rsid w:val="006C6830"/>
    <w:rsid w:val="006C6BE8"/>
    <w:rsid w:val="006C7223"/>
    <w:rsid w:val="006C7576"/>
    <w:rsid w:val="006C7650"/>
    <w:rsid w:val="006C7CCA"/>
    <w:rsid w:val="006D0053"/>
    <w:rsid w:val="006D041C"/>
    <w:rsid w:val="006D07E2"/>
    <w:rsid w:val="006D1BE4"/>
    <w:rsid w:val="006D1E4F"/>
    <w:rsid w:val="006D22E3"/>
    <w:rsid w:val="006D2345"/>
    <w:rsid w:val="006D2598"/>
    <w:rsid w:val="006D2CF6"/>
    <w:rsid w:val="006D3C7A"/>
    <w:rsid w:val="006D427F"/>
    <w:rsid w:val="006D4311"/>
    <w:rsid w:val="006D4329"/>
    <w:rsid w:val="006D432F"/>
    <w:rsid w:val="006D471C"/>
    <w:rsid w:val="006D4A50"/>
    <w:rsid w:val="006D4F73"/>
    <w:rsid w:val="006D4F7D"/>
    <w:rsid w:val="006D53E0"/>
    <w:rsid w:val="006D53F0"/>
    <w:rsid w:val="006D58A1"/>
    <w:rsid w:val="006D5E1A"/>
    <w:rsid w:val="006D6102"/>
    <w:rsid w:val="006D622D"/>
    <w:rsid w:val="006D6886"/>
    <w:rsid w:val="006D69DB"/>
    <w:rsid w:val="006D6EA3"/>
    <w:rsid w:val="006D6FBC"/>
    <w:rsid w:val="006D78D1"/>
    <w:rsid w:val="006D7C47"/>
    <w:rsid w:val="006D7D49"/>
    <w:rsid w:val="006E09CF"/>
    <w:rsid w:val="006E09EF"/>
    <w:rsid w:val="006E0B7E"/>
    <w:rsid w:val="006E0D38"/>
    <w:rsid w:val="006E1050"/>
    <w:rsid w:val="006E1242"/>
    <w:rsid w:val="006E19BB"/>
    <w:rsid w:val="006E1A65"/>
    <w:rsid w:val="006E1FB4"/>
    <w:rsid w:val="006E2008"/>
    <w:rsid w:val="006E2692"/>
    <w:rsid w:val="006E3230"/>
    <w:rsid w:val="006E38FA"/>
    <w:rsid w:val="006E3A05"/>
    <w:rsid w:val="006E4474"/>
    <w:rsid w:val="006E4CE4"/>
    <w:rsid w:val="006E4EDA"/>
    <w:rsid w:val="006E557D"/>
    <w:rsid w:val="006E5CF1"/>
    <w:rsid w:val="006E634D"/>
    <w:rsid w:val="006E6403"/>
    <w:rsid w:val="006E7D4A"/>
    <w:rsid w:val="006F0351"/>
    <w:rsid w:val="006F0C30"/>
    <w:rsid w:val="006F0FA5"/>
    <w:rsid w:val="006F1205"/>
    <w:rsid w:val="006F150C"/>
    <w:rsid w:val="006F18FE"/>
    <w:rsid w:val="006F1DF6"/>
    <w:rsid w:val="006F225F"/>
    <w:rsid w:val="006F2680"/>
    <w:rsid w:val="006F28A4"/>
    <w:rsid w:val="006F2C9C"/>
    <w:rsid w:val="006F2FA4"/>
    <w:rsid w:val="006F360E"/>
    <w:rsid w:val="006F37B4"/>
    <w:rsid w:val="006F3C9E"/>
    <w:rsid w:val="006F54BE"/>
    <w:rsid w:val="006F5F0A"/>
    <w:rsid w:val="006F618B"/>
    <w:rsid w:val="006F64D1"/>
    <w:rsid w:val="006F6940"/>
    <w:rsid w:val="006F6B21"/>
    <w:rsid w:val="006F6B8A"/>
    <w:rsid w:val="006F6D2F"/>
    <w:rsid w:val="006F70CF"/>
    <w:rsid w:val="006F7687"/>
    <w:rsid w:val="006F78BA"/>
    <w:rsid w:val="006F7ADD"/>
    <w:rsid w:val="0070010C"/>
    <w:rsid w:val="00700306"/>
    <w:rsid w:val="00700333"/>
    <w:rsid w:val="007008B0"/>
    <w:rsid w:val="00700CE6"/>
    <w:rsid w:val="00700F05"/>
    <w:rsid w:val="00701213"/>
    <w:rsid w:val="007014D8"/>
    <w:rsid w:val="00701F5F"/>
    <w:rsid w:val="0070226C"/>
    <w:rsid w:val="0070251A"/>
    <w:rsid w:val="007028B7"/>
    <w:rsid w:val="00702D87"/>
    <w:rsid w:val="00702E64"/>
    <w:rsid w:val="00702EA5"/>
    <w:rsid w:val="0070368E"/>
    <w:rsid w:val="00703A2F"/>
    <w:rsid w:val="00703A3F"/>
    <w:rsid w:val="00703AF8"/>
    <w:rsid w:val="00703B82"/>
    <w:rsid w:val="00703CD3"/>
    <w:rsid w:val="00704548"/>
    <w:rsid w:val="007047A8"/>
    <w:rsid w:val="00704C85"/>
    <w:rsid w:val="00705108"/>
    <w:rsid w:val="0070531D"/>
    <w:rsid w:val="00705B76"/>
    <w:rsid w:val="00705D54"/>
    <w:rsid w:val="00706017"/>
    <w:rsid w:val="007065DE"/>
    <w:rsid w:val="00706733"/>
    <w:rsid w:val="00706CF9"/>
    <w:rsid w:val="007072C8"/>
    <w:rsid w:val="00707903"/>
    <w:rsid w:val="0071016B"/>
    <w:rsid w:val="007107CB"/>
    <w:rsid w:val="00710826"/>
    <w:rsid w:val="00710EE2"/>
    <w:rsid w:val="007110B4"/>
    <w:rsid w:val="007110D7"/>
    <w:rsid w:val="00711567"/>
    <w:rsid w:val="007116F4"/>
    <w:rsid w:val="0071176C"/>
    <w:rsid w:val="00711EF7"/>
    <w:rsid w:val="0071212F"/>
    <w:rsid w:val="007122F5"/>
    <w:rsid w:val="00712385"/>
    <w:rsid w:val="00712403"/>
    <w:rsid w:val="007125AD"/>
    <w:rsid w:val="00713D82"/>
    <w:rsid w:val="007142F3"/>
    <w:rsid w:val="00714428"/>
    <w:rsid w:val="0071455C"/>
    <w:rsid w:val="0071493D"/>
    <w:rsid w:val="00714EDA"/>
    <w:rsid w:val="0071504D"/>
    <w:rsid w:val="00715861"/>
    <w:rsid w:val="00715D03"/>
    <w:rsid w:val="00715D37"/>
    <w:rsid w:val="00715D78"/>
    <w:rsid w:val="00715F16"/>
    <w:rsid w:val="00715F52"/>
    <w:rsid w:val="00716254"/>
    <w:rsid w:val="007166A8"/>
    <w:rsid w:val="00716D26"/>
    <w:rsid w:val="00717827"/>
    <w:rsid w:val="0072108E"/>
    <w:rsid w:val="007210BF"/>
    <w:rsid w:val="007210CB"/>
    <w:rsid w:val="00721287"/>
    <w:rsid w:val="00721359"/>
    <w:rsid w:val="007214A9"/>
    <w:rsid w:val="00721C6B"/>
    <w:rsid w:val="007226AD"/>
    <w:rsid w:val="00722BA6"/>
    <w:rsid w:val="00722C65"/>
    <w:rsid w:val="00722CA5"/>
    <w:rsid w:val="0072302B"/>
    <w:rsid w:val="0072327A"/>
    <w:rsid w:val="007236DD"/>
    <w:rsid w:val="007238CD"/>
    <w:rsid w:val="00723CF3"/>
    <w:rsid w:val="00724144"/>
    <w:rsid w:val="00724FB7"/>
    <w:rsid w:val="007251A2"/>
    <w:rsid w:val="00725236"/>
    <w:rsid w:val="007253CA"/>
    <w:rsid w:val="00725B0A"/>
    <w:rsid w:val="0072712B"/>
    <w:rsid w:val="007273DA"/>
    <w:rsid w:val="00727472"/>
    <w:rsid w:val="00727C34"/>
    <w:rsid w:val="00730748"/>
    <w:rsid w:val="00730A0A"/>
    <w:rsid w:val="0073113E"/>
    <w:rsid w:val="00731404"/>
    <w:rsid w:val="007314D0"/>
    <w:rsid w:val="00731AF8"/>
    <w:rsid w:val="00731F10"/>
    <w:rsid w:val="007320A7"/>
    <w:rsid w:val="007324B4"/>
    <w:rsid w:val="00732965"/>
    <w:rsid w:val="00733AC9"/>
    <w:rsid w:val="00733EF8"/>
    <w:rsid w:val="00733FAF"/>
    <w:rsid w:val="0073498F"/>
    <w:rsid w:val="00734B82"/>
    <w:rsid w:val="00734C05"/>
    <w:rsid w:val="00734D1C"/>
    <w:rsid w:val="00734ED6"/>
    <w:rsid w:val="00735D35"/>
    <w:rsid w:val="00736011"/>
    <w:rsid w:val="00736874"/>
    <w:rsid w:val="0073736F"/>
    <w:rsid w:val="00737628"/>
    <w:rsid w:val="00737E7E"/>
    <w:rsid w:val="00740396"/>
    <w:rsid w:val="0074060F"/>
    <w:rsid w:val="007409A6"/>
    <w:rsid w:val="007410F0"/>
    <w:rsid w:val="00741345"/>
    <w:rsid w:val="007418C6"/>
    <w:rsid w:val="0074254B"/>
    <w:rsid w:val="007426CA"/>
    <w:rsid w:val="00742A8D"/>
    <w:rsid w:val="00742BD2"/>
    <w:rsid w:val="00742E38"/>
    <w:rsid w:val="00742E53"/>
    <w:rsid w:val="00742F6E"/>
    <w:rsid w:val="00743015"/>
    <w:rsid w:val="0074335E"/>
    <w:rsid w:val="007438B6"/>
    <w:rsid w:val="00743935"/>
    <w:rsid w:val="00743C04"/>
    <w:rsid w:val="00743CCE"/>
    <w:rsid w:val="00743F9E"/>
    <w:rsid w:val="00743FF7"/>
    <w:rsid w:val="00744BAB"/>
    <w:rsid w:val="00744ED3"/>
    <w:rsid w:val="00745424"/>
    <w:rsid w:val="0074542F"/>
    <w:rsid w:val="00745694"/>
    <w:rsid w:val="00745AE6"/>
    <w:rsid w:val="00745EA9"/>
    <w:rsid w:val="0074623A"/>
    <w:rsid w:val="00746664"/>
    <w:rsid w:val="00746818"/>
    <w:rsid w:val="00746D7E"/>
    <w:rsid w:val="00747314"/>
    <w:rsid w:val="007474D6"/>
    <w:rsid w:val="00747625"/>
    <w:rsid w:val="007477B9"/>
    <w:rsid w:val="00747847"/>
    <w:rsid w:val="00747F13"/>
    <w:rsid w:val="00750136"/>
    <w:rsid w:val="007502DD"/>
    <w:rsid w:val="007502E4"/>
    <w:rsid w:val="00750355"/>
    <w:rsid w:val="00750AA3"/>
    <w:rsid w:val="00751347"/>
    <w:rsid w:val="00751EE3"/>
    <w:rsid w:val="0075227B"/>
    <w:rsid w:val="00752367"/>
    <w:rsid w:val="007531A2"/>
    <w:rsid w:val="00754708"/>
    <w:rsid w:val="00754AA1"/>
    <w:rsid w:val="007553C7"/>
    <w:rsid w:val="00755522"/>
    <w:rsid w:val="00755B27"/>
    <w:rsid w:val="00755DA1"/>
    <w:rsid w:val="00756142"/>
    <w:rsid w:val="00756369"/>
    <w:rsid w:val="0075680E"/>
    <w:rsid w:val="00756A03"/>
    <w:rsid w:val="0075776C"/>
    <w:rsid w:val="00757842"/>
    <w:rsid w:val="007603CB"/>
    <w:rsid w:val="00760F4C"/>
    <w:rsid w:val="007610FC"/>
    <w:rsid w:val="0076123B"/>
    <w:rsid w:val="0076131F"/>
    <w:rsid w:val="00761876"/>
    <w:rsid w:val="007620B9"/>
    <w:rsid w:val="00762106"/>
    <w:rsid w:val="0076211B"/>
    <w:rsid w:val="00762739"/>
    <w:rsid w:val="007629F3"/>
    <w:rsid w:val="00762D34"/>
    <w:rsid w:val="00762FEA"/>
    <w:rsid w:val="00763153"/>
    <w:rsid w:val="007638D5"/>
    <w:rsid w:val="00763C80"/>
    <w:rsid w:val="007643A1"/>
    <w:rsid w:val="00764F6B"/>
    <w:rsid w:val="0076505F"/>
    <w:rsid w:val="007651E1"/>
    <w:rsid w:val="00765458"/>
    <w:rsid w:val="00765762"/>
    <w:rsid w:val="00765A75"/>
    <w:rsid w:val="00765DAD"/>
    <w:rsid w:val="00765F62"/>
    <w:rsid w:val="007661A8"/>
    <w:rsid w:val="007665E6"/>
    <w:rsid w:val="00766ED0"/>
    <w:rsid w:val="00767389"/>
    <w:rsid w:val="007678C9"/>
    <w:rsid w:val="00767A1D"/>
    <w:rsid w:val="00767BF8"/>
    <w:rsid w:val="00770031"/>
    <w:rsid w:val="00770337"/>
    <w:rsid w:val="007708E7"/>
    <w:rsid w:val="0077166D"/>
    <w:rsid w:val="007717DC"/>
    <w:rsid w:val="007719DA"/>
    <w:rsid w:val="00771A74"/>
    <w:rsid w:val="00771AC1"/>
    <w:rsid w:val="00771BCF"/>
    <w:rsid w:val="0077250F"/>
    <w:rsid w:val="00772847"/>
    <w:rsid w:val="00772C1A"/>
    <w:rsid w:val="0077303A"/>
    <w:rsid w:val="00773947"/>
    <w:rsid w:val="00773997"/>
    <w:rsid w:val="00774433"/>
    <w:rsid w:val="007748A5"/>
    <w:rsid w:val="007749C4"/>
    <w:rsid w:val="007749D9"/>
    <w:rsid w:val="00774A7A"/>
    <w:rsid w:val="00774FF6"/>
    <w:rsid w:val="00775327"/>
    <w:rsid w:val="007757B2"/>
    <w:rsid w:val="00775F62"/>
    <w:rsid w:val="00776197"/>
    <w:rsid w:val="007764B2"/>
    <w:rsid w:val="00776F20"/>
    <w:rsid w:val="007776AF"/>
    <w:rsid w:val="00777D09"/>
    <w:rsid w:val="00777ED2"/>
    <w:rsid w:val="0078025E"/>
    <w:rsid w:val="00780B16"/>
    <w:rsid w:val="00781576"/>
    <w:rsid w:val="00781B8D"/>
    <w:rsid w:val="007823A9"/>
    <w:rsid w:val="007823DE"/>
    <w:rsid w:val="007824A4"/>
    <w:rsid w:val="00782628"/>
    <w:rsid w:val="007826CF"/>
    <w:rsid w:val="007829C4"/>
    <w:rsid w:val="00783018"/>
    <w:rsid w:val="007831BA"/>
    <w:rsid w:val="00783335"/>
    <w:rsid w:val="007839C3"/>
    <w:rsid w:val="00783C87"/>
    <w:rsid w:val="00783E6C"/>
    <w:rsid w:val="00784674"/>
    <w:rsid w:val="007847C6"/>
    <w:rsid w:val="00784D1F"/>
    <w:rsid w:val="00784F7C"/>
    <w:rsid w:val="00785003"/>
    <w:rsid w:val="007856A6"/>
    <w:rsid w:val="007858AB"/>
    <w:rsid w:val="00785A18"/>
    <w:rsid w:val="00785D4A"/>
    <w:rsid w:val="00785F84"/>
    <w:rsid w:val="0078601E"/>
    <w:rsid w:val="007862B1"/>
    <w:rsid w:val="007868E6"/>
    <w:rsid w:val="007868F9"/>
    <w:rsid w:val="0078696B"/>
    <w:rsid w:val="00786C5C"/>
    <w:rsid w:val="00786CFA"/>
    <w:rsid w:val="007876DC"/>
    <w:rsid w:val="007907F8"/>
    <w:rsid w:val="007917BC"/>
    <w:rsid w:val="00791CD2"/>
    <w:rsid w:val="00791CD3"/>
    <w:rsid w:val="00792049"/>
    <w:rsid w:val="00792E79"/>
    <w:rsid w:val="00793348"/>
    <w:rsid w:val="00793952"/>
    <w:rsid w:val="00793B39"/>
    <w:rsid w:val="00793E7D"/>
    <w:rsid w:val="00794373"/>
    <w:rsid w:val="007945C6"/>
    <w:rsid w:val="00794D00"/>
    <w:rsid w:val="00794E33"/>
    <w:rsid w:val="00794E59"/>
    <w:rsid w:val="007956A1"/>
    <w:rsid w:val="00795874"/>
    <w:rsid w:val="00795921"/>
    <w:rsid w:val="00795EB0"/>
    <w:rsid w:val="007962FA"/>
    <w:rsid w:val="00796419"/>
    <w:rsid w:val="007965B7"/>
    <w:rsid w:val="007965E2"/>
    <w:rsid w:val="007965EC"/>
    <w:rsid w:val="007967C9"/>
    <w:rsid w:val="0079693B"/>
    <w:rsid w:val="00796FE1"/>
    <w:rsid w:val="00797043"/>
    <w:rsid w:val="007971E1"/>
    <w:rsid w:val="00797AA3"/>
    <w:rsid w:val="00797D9E"/>
    <w:rsid w:val="007A06E7"/>
    <w:rsid w:val="007A0D24"/>
    <w:rsid w:val="007A0D35"/>
    <w:rsid w:val="007A17CE"/>
    <w:rsid w:val="007A1F81"/>
    <w:rsid w:val="007A2820"/>
    <w:rsid w:val="007A3040"/>
    <w:rsid w:val="007A3044"/>
    <w:rsid w:val="007A3099"/>
    <w:rsid w:val="007A3463"/>
    <w:rsid w:val="007A3806"/>
    <w:rsid w:val="007A380A"/>
    <w:rsid w:val="007A3AFD"/>
    <w:rsid w:val="007A40D8"/>
    <w:rsid w:val="007A416A"/>
    <w:rsid w:val="007A42FD"/>
    <w:rsid w:val="007A4343"/>
    <w:rsid w:val="007A4730"/>
    <w:rsid w:val="007A4EF6"/>
    <w:rsid w:val="007A5004"/>
    <w:rsid w:val="007A5795"/>
    <w:rsid w:val="007A5F43"/>
    <w:rsid w:val="007A61F8"/>
    <w:rsid w:val="007A6421"/>
    <w:rsid w:val="007A6A40"/>
    <w:rsid w:val="007A6EE1"/>
    <w:rsid w:val="007A7438"/>
    <w:rsid w:val="007A7855"/>
    <w:rsid w:val="007A7964"/>
    <w:rsid w:val="007A7BB1"/>
    <w:rsid w:val="007A7C3E"/>
    <w:rsid w:val="007A7C50"/>
    <w:rsid w:val="007A7D6D"/>
    <w:rsid w:val="007A7E1C"/>
    <w:rsid w:val="007B0298"/>
    <w:rsid w:val="007B0346"/>
    <w:rsid w:val="007B0B50"/>
    <w:rsid w:val="007B1600"/>
    <w:rsid w:val="007B1970"/>
    <w:rsid w:val="007B199B"/>
    <w:rsid w:val="007B1CCD"/>
    <w:rsid w:val="007B2723"/>
    <w:rsid w:val="007B29CE"/>
    <w:rsid w:val="007B2DC3"/>
    <w:rsid w:val="007B392F"/>
    <w:rsid w:val="007B3C94"/>
    <w:rsid w:val="007B3DB1"/>
    <w:rsid w:val="007B40CD"/>
    <w:rsid w:val="007B41A5"/>
    <w:rsid w:val="007B44D6"/>
    <w:rsid w:val="007B453A"/>
    <w:rsid w:val="007B4A49"/>
    <w:rsid w:val="007B4AE3"/>
    <w:rsid w:val="007B5024"/>
    <w:rsid w:val="007B5D17"/>
    <w:rsid w:val="007B5D8E"/>
    <w:rsid w:val="007B5F30"/>
    <w:rsid w:val="007B6627"/>
    <w:rsid w:val="007B6F1C"/>
    <w:rsid w:val="007B7075"/>
    <w:rsid w:val="007B7755"/>
    <w:rsid w:val="007B791D"/>
    <w:rsid w:val="007B7DBD"/>
    <w:rsid w:val="007B7F46"/>
    <w:rsid w:val="007C0719"/>
    <w:rsid w:val="007C0C82"/>
    <w:rsid w:val="007C0EB4"/>
    <w:rsid w:val="007C0F72"/>
    <w:rsid w:val="007C190F"/>
    <w:rsid w:val="007C2A53"/>
    <w:rsid w:val="007C2AEE"/>
    <w:rsid w:val="007C2CF9"/>
    <w:rsid w:val="007C3AE0"/>
    <w:rsid w:val="007C3CD9"/>
    <w:rsid w:val="007C411A"/>
    <w:rsid w:val="007C4350"/>
    <w:rsid w:val="007C4427"/>
    <w:rsid w:val="007C4949"/>
    <w:rsid w:val="007C4DF7"/>
    <w:rsid w:val="007C4FA1"/>
    <w:rsid w:val="007C59ED"/>
    <w:rsid w:val="007C5A74"/>
    <w:rsid w:val="007C5CDF"/>
    <w:rsid w:val="007C5FF8"/>
    <w:rsid w:val="007C643C"/>
    <w:rsid w:val="007C65D9"/>
    <w:rsid w:val="007C68C5"/>
    <w:rsid w:val="007C68D4"/>
    <w:rsid w:val="007C6BCE"/>
    <w:rsid w:val="007C6FE3"/>
    <w:rsid w:val="007C71B4"/>
    <w:rsid w:val="007C7576"/>
    <w:rsid w:val="007C7AB4"/>
    <w:rsid w:val="007C7ADF"/>
    <w:rsid w:val="007C7B0F"/>
    <w:rsid w:val="007C7E81"/>
    <w:rsid w:val="007D07F5"/>
    <w:rsid w:val="007D0A0B"/>
    <w:rsid w:val="007D101A"/>
    <w:rsid w:val="007D139A"/>
    <w:rsid w:val="007D13BB"/>
    <w:rsid w:val="007D1832"/>
    <w:rsid w:val="007D1BE4"/>
    <w:rsid w:val="007D1D82"/>
    <w:rsid w:val="007D21A4"/>
    <w:rsid w:val="007D24D3"/>
    <w:rsid w:val="007D291C"/>
    <w:rsid w:val="007D3244"/>
    <w:rsid w:val="007D336C"/>
    <w:rsid w:val="007D3DB8"/>
    <w:rsid w:val="007D3EE6"/>
    <w:rsid w:val="007D40CC"/>
    <w:rsid w:val="007D47F0"/>
    <w:rsid w:val="007D49FC"/>
    <w:rsid w:val="007D4E5E"/>
    <w:rsid w:val="007D4F49"/>
    <w:rsid w:val="007D4F50"/>
    <w:rsid w:val="007D55EF"/>
    <w:rsid w:val="007D5C73"/>
    <w:rsid w:val="007D5D73"/>
    <w:rsid w:val="007D6A1D"/>
    <w:rsid w:val="007D6CF4"/>
    <w:rsid w:val="007D799B"/>
    <w:rsid w:val="007D7BC4"/>
    <w:rsid w:val="007D7C86"/>
    <w:rsid w:val="007D7C98"/>
    <w:rsid w:val="007D7EEC"/>
    <w:rsid w:val="007E080D"/>
    <w:rsid w:val="007E0A6F"/>
    <w:rsid w:val="007E1008"/>
    <w:rsid w:val="007E170B"/>
    <w:rsid w:val="007E1791"/>
    <w:rsid w:val="007E188A"/>
    <w:rsid w:val="007E1CED"/>
    <w:rsid w:val="007E1DAC"/>
    <w:rsid w:val="007E2574"/>
    <w:rsid w:val="007E2628"/>
    <w:rsid w:val="007E26D1"/>
    <w:rsid w:val="007E2895"/>
    <w:rsid w:val="007E33CE"/>
    <w:rsid w:val="007E3655"/>
    <w:rsid w:val="007E36AC"/>
    <w:rsid w:val="007E374F"/>
    <w:rsid w:val="007E38D3"/>
    <w:rsid w:val="007E3B41"/>
    <w:rsid w:val="007E3D36"/>
    <w:rsid w:val="007E40B3"/>
    <w:rsid w:val="007E4141"/>
    <w:rsid w:val="007E4158"/>
    <w:rsid w:val="007E4261"/>
    <w:rsid w:val="007E43F7"/>
    <w:rsid w:val="007E481B"/>
    <w:rsid w:val="007E48BE"/>
    <w:rsid w:val="007E4E56"/>
    <w:rsid w:val="007E51DA"/>
    <w:rsid w:val="007E657E"/>
    <w:rsid w:val="007E6B6D"/>
    <w:rsid w:val="007E6F7F"/>
    <w:rsid w:val="007E79BD"/>
    <w:rsid w:val="007E7D85"/>
    <w:rsid w:val="007F0B24"/>
    <w:rsid w:val="007F0D56"/>
    <w:rsid w:val="007F0DEF"/>
    <w:rsid w:val="007F0FA6"/>
    <w:rsid w:val="007F16D5"/>
    <w:rsid w:val="007F18EE"/>
    <w:rsid w:val="007F1D95"/>
    <w:rsid w:val="007F1E35"/>
    <w:rsid w:val="007F24F0"/>
    <w:rsid w:val="007F2561"/>
    <w:rsid w:val="007F281F"/>
    <w:rsid w:val="007F2B1C"/>
    <w:rsid w:val="007F307A"/>
    <w:rsid w:val="007F30EB"/>
    <w:rsid w:val="007F33F4"/>
    <w:rsid w:val="007F353E"/>
    <w:rsid w:val="007F35FD"/>
    <w:rsid w:val="007F385F"/>
    <w:rsid w:val="007F3A44"/>
    <w:rsid w:val="007F3D2C"/>
    <w:rsid w:val="007F3EC4"/>
    <w:rsid w:val="007F40E7"/>
    <w:rsid w:val="007F41C3"/>
    <w:rsid w:val="007F4423"/>
    <w:rsid w:val="007F498E"/>
    <w:rsid w:val="007F4998"/>
    <w:rsid w:val="007F5180"/>
    <w:rsid w:val="007F55B7"/>
    <w:rsid w:val="007F56B3"/>
    <w:rsid w:val="007F5744"/>
    <w:rsid w:val="007F5AC8"/>
    <w:rsid w:val="007F5ADB"/>
    <w:rsid w:val="007F5F43"/>
    <w:rsid w:val="007F684F"/>
    <w:rsid w:val="007F6E05"/>
    <w:rsid w:val="007F6EDB"/>
    <w:rsid w:val="007F7A6B"/>
    <w:rsid w:val="00800B16"/>
    <w:rsid w:val="00800DEF"/>
    <w:rsid w:val="00800DF6"/>
    <w:rsid w:val="00801464"/>
    <w:rsid w:val="00801AC7"/>
    <w:rsid w:val="00801C99"/>
    <w:rsid w:val="00801CA5"/>
    <w:rsid w:val="00801CA7"/>
    <w:rsid w:val="0080252A"/>
    <w:rsid w:val="008027FC"/>
    <w:rsid w:val="00802DBC"/>
    <w:rsid w:val="00802F94"/>
    <w:rsid w:val="008038DB"/>
    <w:rsid w:val="008039C7"/>
    <w:rsid w:val="00804118"/>
    <w:rsid w:val="0080467B"/>
    <w:rsid w:val="008049DF"/>
    <w:rsid w:val="00804E0F"/>
    <w:rsid w:val="008053A8"/>
    <w:rsid w:val="00805779"/>
    <w:rsid w:val="00805879"/>
    <w:rsid w:val="00805BCE"/>
    <w:rsid w:val="00805CDF"/>
    <w:rsid w:val="00805FBC"/>
    <w:rsid w:val="0080603E"/>
    <w:rsid w:val="0080609D"/>
    <w:rsid w:val="0080610D"/>
    <w:rsid w:val="00806629"/>
    <w:rsid w:val="0080696A"/>
    <w:rsid w:val="008076CB"/>
    <w:rsid w:val="008105DC"/>
    <w:rsid w:val="00810CB4"/>
    <w:rsid w:val="008110C9"/>
    <w:rsid w:val="00811197"/>
    <w:rsid w:val="00812360"/>
    <w:rsid w:val="008127AF"/>
    <w:rsid w:val="00812F0B"/>
    <w:rsid w:val="00813A2A"/>
    <w:rsid w:val="00813CC5"/>
    <w:rsid w:val="008140FA"/>
    <w:rsid w:val="0081420F"/>
    <w:rsid w:val="008143AE"/>
    <w:rsid w:val="00814687"/>
    <w:rsid w:val="00814734"/>
    <w:rsid w:val="0081589A"/>
    <w:rsid w:val="00815A32"/>
    <w:rsid w:val="00815EFB"/>
    <w:rsid w:val="00816222"/>
    <w:rsid w:val="008162B4"/>
    <w:rsid w:val="00817262"/>
    <w:rsid w:val="00817386"/>
    <w:rsid w:val="00817718"/>
    <w:rsid w:val="00817BD3"/>
    <w:rsid w:val="00817C50"/>
    <w:rsid w:val="00817D05"/>
    <w:rsid w:val="00817EC9"/>
    <w:rsid w:val="00820088"/>
    <w:rsid w:val="00820878"/>
    <w:rsid w:val="0082089C"/>
    <w:rsid w:val="00820952"/>
    <w:rsid w:val="00820B8B"/>
    <w:rsid w:val="00820F57"/>
    <w:rsid w:val="008229F6"/>
    <w:rsid w:val="00822A0E"/>
    <w:rsid w:val="00822AEC"/>
    <w:rsid w:val="00822C48"/>
    <w:rsid w:val="00823B0B"/>
    <w:rsid w:val="0082403D"/>
    <w:rsid w:val="008242D4"/>
    <w:rsid w:val="00824A21"/>
    <w:rsid w:val="00824B7C"/>
    <w:rsid w:val="008258A0"/>
    <w:rsid w:val="00825EB5"/>
    <w:rsid w:val="00825F17"/>
    <w:rsid w:val="00826B58"/>
    <w:rsid w:val="00826D70"/>
    <w:rsid w:val="00826FCA"/>
    <w:rsid w:val="0082723A"/>
    <w:rsid w:val="008273EC"/>
    <w:rsid w:val="0082753C"/>
    <w:rsid w:val="0082767B"/>
    <w:rsid w:val="00827A18"/>
    <w:rsid w:val="00830993"/>
    <w:rsid w:val="00830A0B"/>
    <w:rsid w:val="00830A61"/>
    <w:rsid w:val="00830D3F"/>
    <w:rsid w:val="00831CCB"/>
    <w:rsid w:val="00831DDE"/>
    <w:rsid w:val="00832288"/>
    <w:rsid w:val="0083252F"/>
    <w:rsid w:val="0083306D"/>
    <w:rsid w:val="00833400"/>
    <w:rsid w:val="0083350A"/>
    <w:rsid w:val="008339A1"/>
    <w:rsid w:val="0083415A"/>
    <w:rsid w:val="00834207"/>
    <w:rsid w:val="0083428F"/>
    <w:rsid w:val="008344FE"/>
    <w:rsid w:val="00834A98"/>
    <w:rsid w:val="00834CE3"/>
    <w:rsid w:val="00834D06"/>
    <w:rsid w:val="00835680"/>
    <w:rsid w:val="00835D6F"/>
    <w:rsid w:val="00836323"/>
    <w:rsid w:val="00836C18"/>
    <w:rsid w:val="00836D36"/>
    <w:rsid w:val="00837793"/>
    <w:rsid w:val="00837A7A"/>
    <w:rsid w:val="00837D3F"/>
    <w:rsid w:val="00840171"/>
    <w:rsid w:val="008406A0"/>
    <w:rsid w:val="008407C0"/>
    <w:rsid w:val="0084087D"/>
    <w:rsid w:val="008410A6"/>
    <w:rsid w:val="0084160C"/>
    <w:rsid w:val="008419D8"/>
    <w:rsid w:val="00841A8C"/>
    <w:rsid w:val="008424D1"/>
    <w:rsid w:val="008426FD"/>
    <w:rsid w:val="00842EA6"/>
    <w:rsid w:val="00843B8D"/>
    <w:rsid w:val="00843BBA"/>
    <w:rsid w:val="00843F03"/>
    <w:rsid w:val="008445D7"/>
    <w:rsid w:val="0084488F"/>
    <w:rsid w:val="00844CA2"/>
    <w:rsid w:val="00845256"/>
    <w:rsid w:val="008452A6"/>
    <w:rsid w:val="00845CFF"/>
    <w:rsid w:val="008462E2"/>
    <w:rsid w:val="008468C2"/>
    <w:rsid w:val="00846A81"/>
    <w:rsid w:val="00846AD1"/>
    <w:rsid w:val="00847089"/>
    <w:rsid w:val="00847322"/>
    <w:rsid w:val="00847716"/>
    <w:rsid w:val="00847B80"/>
    <w:rsid w:val="00847E33"/>
    <w:rsid w:val="008507F6"/>
    <w:rsid w:val="00851038"/>
    <w:rsid w:val="0085147F"/>
    <w:rsid w:val="00852149"/>
    <w:rsid w:val="0085239C"/>
    <w:rsid w:val="008523E4"/>
    <w:rsid w:val="00852507"/>
    <w:rsid w:val="008525F0"/>
    <w:rsid w:val="00852916"/>
    <w:rsid w:val="00852C82"/>
    <w:rsid w:val="00853574"/>
    <w:rsid w:val="0085370B"/>
    <w:rsid w:val="00853C88"/>
    <w:rsid w:val="0085443F"/>
    <w:rsid w:val="0085469C"/>
    <w:rsid w:val="00854A99"/>
    <w:rsid w:val="00854ACA"/>
    <w:rsid w:val="00854B21"/>
    <w:rsid w:val="008555CC"/>
    <w:rsid w:val="008557B4"/>
    <w:rsid w:val="008559C1"/>
    <w:rsid w:val="008559C8"/>
    <w:rsid w:val="00855C38"/>
    <w:rsid w:val="00855C7A"/>
    <w:rsid w:val="00855ED0"/>
    <w:rsid w:val="00856044"/>
    <w:rsid w:val="0085620B"/>
    <w:rsid w:val="00856267"/>
    <w:rsid w:val="00856294"/>
    <w:rsid w:val="008564D6"/>
    <w:rsid w:val="0085658E"/>
    <w:rsid w:val="008566F5"/>
    <w:rsid w:val="00856AEA"/>
    <w:rsid w:val="00856C0F"/>
    <w:rsid w:val="00856CE9"/>
    <w:rsid w:val="00856DCE"/>
    <w:rsid w:val="0085719A"/>
    <w:rsid w:val="0085738A"/>
    <w:rsid w:val="0085747A"/>
    <w:rsid w:val="008578CF"/>
    <w:rsid w:val="00857C30"/>
    <w:rsid w:val="00860271"/>
    <w:rsid w:val="00860C06"/>
    <w:rsid w:val="00860C1E"/>
    <w:rsid w:val="00860DCF"/>
    <w:rsid w:val="00861471"/>
    <w:rsid w:val="008617D4"/>
    <w:rsid w:val="0086270A"/>
    <w:rsid w:val="008628F5"/>
    <w:rsid w:val="00862CEA"/>
    <w:rsid w:val="0086316F"/>
    <w:rsid w:val="008635DB"/>
    <w:rsid w:val="008638BD"/>
    <w:rsid w:val="008638DF"/>
    <w:rsid w:val="00863A5E"/>
    <w:rsid w:val="00864161"/>
    <w:rsid w:val="0086469F"/>
    <w:rsid w:val="00864703"/>
    <w:rsid w:val="00865493"/>
    <w:rsid w:val="00865831"/>
    <w:rsid w:val="0086595B"/>
    <w:rsid w:val="00865DC6"/>
    <w:rsid w:val="008661AC"/>
    <w:rsid w:val="00866A8E"/>
    <w:rsid w:val="00866E18"/>
    <w:rsid w:val="00866F37"/>
    <w:rsid w:val="00866FD3"/>
    <w:rsid w:val="0086730D"/>
    <w:rsid w:val="0086738E"/>
    <w:rsid w:val="008675A3"/>
    <w:rsid w:val="00867761"/>
    <w:rsid w:val="00867D05"/>
    <w:rsid w:val="00867D22"/>
    <w:rsid w:val="008700D4"/>
    <w:rsid w:val="00870184"/>
    <w:rsid w:val="0087028D"/>
    <w:rsid w:val="0087083B"/>
    <w:rsid w:val="008710FD"/>
    <w:rsid w:val="008712C0"/>
    <w:rsid w:val="008713B6"/>
    <w:rsid w:val="008722F9"/>
    <w:rsid w:val="0087270D"/>
    <w:rsid w:val="00873C44"/>
    <w:rsid w:val="00874748"/>
    <w:rsid w:val="00874BC7"/>
    <w:rsid w:val="00874BEA"/>
    <w:rsid w:val="00874DC9"/>
    <w:rsid w:val="00875454"/>
    <w:rsid w:val="008755E4"/>
    <w:rsid w:val="0087563A"/>
    <w:rsid w:val="008756ED"/>
    <w:rsid w:val="00875AA8"/>
    <w:rsid w:val="00875AEC"/>
    <w:rsid w:val="00875D34"/>
    <w:rsid w:val="00875F48"/>
    <w:rsid w:val="00876151"/>
    <w:rsid w:val="0087673B"/>
    <w:rsid w:val="00876C08"/>
    <w:rsid w:val="00876C10"/>
    <w:rsid w:val="008775A0"/>
    <w:rsid w:val="008776B3"/>
    <w:rsid w:val="00877881"/>
    <w:rsid w:val="00877B37"/>
    <w:rsid w:val="00877FEB"/>
    <w:rsid w:val="0088092D"/>
    <w:rsid w:val="0088098E"/>
    <w:rsid w:val="00880D4C"/>
    <w:rsid w:val="00881135"/>
    <w:rsid w:val="00881150"/>
    <w:rsid w:val="00881ADA"/>
    <w:rsid w:val="00881B3C"/>
    <w:rsid w:val="00881DB5"/>
    <w:rsid w:val="00882000"/>
    <w:rsid w:val="00882678"/>
    <w:rsid w:val="008828B2"/>
    <w:rsid w:val="008830EE"/>
    <w:rsid w:val="00883327"/>
    <w:rsid w:val="0088356B"/>
    <w:rsid w:val="00883638"/>
    <w:rsid w:val="0088367C"/>
    <w:rsid w:val="008838C8"/>
    <w:rsid w:val="00883F06"/>
    <w:rsid w:val="008840D1"/>
    <w:rsid w:val="00884A12"/>
    <w:rsid w:val="00884B3D"/>
    <w:rsid w:val="008850BC"/>
    <w:rsid w:val="00885880"/>
    <w:rsid w:val="00886987"/>
    <w:rsid w:val="00886C94"/>
    <w:rsid w:val="008873EA"/>
    <w:rsid w:val="008874F1"/>
    <w:rsid w:val="008879E5"/>
    <w:rsid w:val="00887ACD"/>
    <w:rsid w:val="00887B15"/>
    <w:rsid w:val="00887C5D"/>
    <w:rsid w:val="00887DDD"/>
    <w:rsid w:val="00890738"/>
    <w:rsid w:val="0089196A"/>
    <w:rsid w:val="00891FB4"/>
    <w:rsid w:val="00892400"/>
    <w:rsid w:val="0089242A"/>
    <w:rsid w:val="00892562"/>
    <w:rsid w:val="008926ED"/>
    <w:rsid w:val="008927CC"/>
    <w:rsid w:val="0089284A"/>
    <w:rsid w:val="00892C9F"/>
    <w:rsid w:val="00892E6E"/>
    <w:rsid w:val="00892ECE"/>
    <w:rsid w:val="00893B1D"/>
    <w:rsid w:val="00893BD2"/>
    <w:rsid w:val="00893D03"/>
    <w:rsid w:val="00893FEE"/>
    <w:rsid w:val="00894D96"/>
    <w:rsid w:val="008952CA"/>
    <w:rsid w:val="0089565E"/>
    <w:rsid w:val="0089587A"/>
    <w:rsid w:val="00895C01"/>
    <w:rsid w:val="00896A1C"/>
    <w:rsid w:val="00896CDC"/>
    <w:rsid w:val="00896D59"/>
    <w:rsid w:val="00896E01"/>
    <w:rsid w:val="00896E5D"/>
    <w:rsid w:val="00896F0E"/>
    <w:rsid w:val="00897526"/>
    <w:rsid w:val="00897AE7"/>
    <w:rsid w:val="00897F08"/>
    <w:rsid w:val="008A0103"/>
    <w:rsid w:val="008A02FC"/>
    <w:rsid w:val="008A0324"/>
    <w:rsid w:val="008A03EF"/>
    <w:rsid w:val="008A043C"/>
    <w:rsid w:val="008A05C9"/>
    <w:rsid w:val="008A05D1"/>
    <w:rsid w:val="008A0F5E"/>
    <w:rsid w:val="008A104F"/>
    <w:rsid w:val="008A13B0"/>
    <w:rsid w:val="008A170F"/>
    <w:rsid w:val="008A1935"/>
    <w:rsid w:val="008A1BB2"/>
    <w:rsid w:val="008A1E25"/>
    <w:rsid w:val="008A200A"/>
    <w:rsid w:val="008A2057"/>
    <w:rsid w:val="008A369D"/>
    <w:rsid w:val="008A466C"/>
    <w:rsid w:val="008A49A2"/>
    <w:rsid w:val="008A4C92"/>
    <w:rsid w:val="008A5746"/>
    <w:rsid w:val="008A638E"/>
    <w:rsid w:val="008A7203"/>
    <w:rsid w:val="008A7338"/>
    <w:rsid w:val="008A759F"/>
    <w:rsid w:val="008A7CE3"/>
    <w:rsid w:val="008B01FB"/>
    <w:rsid w:val="008B0825"/>
    <w:rsid w:val="008B135A"/>
    <w:rsid w:val="008B1418"/>
    <w:rsid w:val="008B1442"/>
    <w:rsid w:val="008B1490"/>
    <w:rsid w:val="008B1A67"/>
    <w:rsid w:val="008B1E1F"/>
    <w:rsid w:val="008B1E2C"/>
    <w:rsid w:val="008B1E7C"/>
    <w:rsid w:val="008B247F"/>
    <w:rsid w:val="008B301A"/>
    <w:rsid w:val="008B309F"/>
    <w:rsid w:val="008B32D0"/>
    <w:rsid w:val="008B3836"/>
    <w:rsid w:val="008B39E4"/>
    <w:rsid w:val="008B3E06"/>
    <w:rsid w:val="008B4546"/>
    <w:rsid w:val="008B4906"/>
    <w:rsid w:val="008B4AE6"/>
    <w:rsid w:val="008B4BDE"/>
    <w:rsid w:val="008B4CA3"/>
    <w:rsid w:val="008B53B1"/>
    <w:rsid w:val="008B55DA"/>
    <w:rsid w:val="008B578B"/>
    <w:rsid w:val="008B5CA4"/>
    <w:rsid w:val="008B61B4"/>
    <w:rsid w:val="008B6564"/>
    <w:rsid w:val="008B6747"/>
    <w:rsid w:val="008B7741"/>
    <w:rsid w:val="008B7B39"/>
    <w:rsid w:val="008B7BDD"/>
    <w:rsid w:val="008B7CDA"/>
    <w:rsid w:val="008B7D7B"/>
    <w:rsid w:val="008B7F1D"/>
    <w:rsid w:val="008B7F3A"/>
    <w:rsid w:val="008C01A7"/>
    <w:rsid w:val="008C031D"/>
    <w:rsid w:val="008C0528"/>
    <w:rsid w:val="008C07A4"/>
    <w:rsid w:val="008C1045"/>
    <w:rsid w:val="008C1363"/>
    <w:rsid w:val="008C165F"/>
    <w:rsid w:val="008C18EF"/>
    <w:rsid w:val="008C1D85"/>
    <w:rsid w:val="008C211F"/>
    <w:rsid w:val="008C26CD"/>
    <w:rsid w:val="008C2AF4"/>
    <w:rsid w:val="008C32EF"/>
    <w:rsid w:val="008C34AC"/>
    <w:rsid w:val="008C3FB7"/>
    <w:rsid w:val="008C4296"/>
    <w:rsid w:val="008C4400"/>
    <w:rsid w:val="008C4BA5"/>
    <w:rsid w:val="008C5057"/>
    <w:rsid w:val="008C5322"/>
    <w:rsid w:val="008C5A1A"/>
    <w:rsid w:val="008C5A9A"/>
    <w:rsid w:val="008C60C0"/>
    <w:rsid w:val="008C683A"/>
    <w:rsid w:val="008C745F"/>
    <w:rsid w:val="008C77C9"/>
    <w:rsid w:val="008D02C5"/>
    <w:rsid w:val="008D0506"/>
    <w:rsid w:val="008D0938"/>
    <w:rsid w:val="008D096C"/>
    <w:rsid w:val="008D0B59"/>
    <w:rsid w:val="008D0B72"/>
    <w:rsid w:val="008D0C85"/>
    <w:rsid w:val="008D10F0"/>
    <w:rsid w:val="008D12E2"/>
    <w:rsid w:val="008D1D19"/>
    <w:rsid w:val="008D1E5A"/>
    <w:rsid w:val="008D2190"/>
    <w:rsid w:val="008D2D06"/>
    <w:rsid w:val="008D32CB"/>
    <w:rsid w:val="008D3379"/>
    <w:rsid w:val="008D37FC"/>
    <w:rsid w:val="008D3D34"/>
    <w:rsid w:val="008D44CE"/>
    <w:rsid w:val="008D5296"/>
    <w:rsid w:val="008D5695"/>
    <w:rsid w:val="008D5A9C"/>
    <w:rsid w:val="008D5AD9"/>
    <w:rsid w:val="008D5F6F"/>
    <w:rsid w:val="008D629A"/>
    <w:rsid w:val="008D647A"/>
    <w:rsid w:val="008D6553"/>
    <w:rsid w:val="008D66E0"/>
    <w:rsid w:val="008D694D"/>
    <w:rsid w:val="008D695B"/>
    <w:rsid w:val="008D6B46"/>
    <w:rsid w:val="008D6F1D"/>
    <w:rsid w:val="008D7585"/>
    <w:rsid w:val="008D76E4"/>
    <w:rsid w:val="008D77F8"/>
    <w:rsid w:val="008D7DF8"/>
    <w:rsid w:val="008D7F27"/>
    <w:rsid w:val="008E056E"/>
    <w:rsid w:val="008E05CA"/>
    <w:rsid w:val="008E0C93"/>
    <w:rsid w:val="008E0D43"/>
    <w:rsid w:val="008E0EC0"/>
    <w:rsid w:val="008E11A0"/>
    <w:rsid w:val="008E1CCB"/>
    <w:rsid w:val="008E1E65"/>
    <w:rsid w:val="008E2276"/>
    <w:rsid w:val="008E28A1"/>
    <w:rsid w:val="008E296C"/>
    <w:rsid w:val="008E2D5D"/>
    <w:rsid w:val="008E3114"/>
    <w:rsid w:val="008E3876"/>
    <w:rsid w:val="008E3AD1"/>
    <w:rsid w:val="008E3C8C"/>
    <w:rsid w:val="008E3C9E"/>
    <w:rsid w:val="008E40CA"/>
    <w:rsid w:val="008E4153"/>
    <w:rsid w:val="008E41E2"/>
    <w:rsid w:val="008E4A97"/>
    <w:rsid w:val="008E4AC2"/>
    <w:rsid w:val="008E4AC5"/>
    <w:rsid w:val="008E5145"/>
    <w:rsid w:val="008E54C2"/>
    <w:rsid w:val="008E55ED"/>
    <w:rsid w:val="008E576B"/>
    <w:rsid w:val="008E58F1"/>
    <w:rsid w:val="008E5AD3"/>
    <w:rsid w:val="008E5D00"/>
    <w:rsid w:val="008E64FA"/>
    <w:rsid w:val="008E6760"/>
    <w:rsid w:val="008E6957"/>
    <w:rsid w:val="008E6CF5"/>
    <w:rsid w:val="008E75A3"/>
    <w:rsid w:val="008E7DB4"/>
    <w:rsid w:val="008E7DF3"/>
    <w:rsid w:val="008F0653"/>
    <w:rsid w:val="008F13DC"/>
    <w:rsid w:val="008F1698"/>
    <w:rsid w:val="008F1B94"/>
    <w:rsid w:val="008F1FBF"/>
    <w:rsid w:val="008F2530"/>
    <w:rsid w:val="008F2D6B"/>
    <w:rsid w:val="008F2DBE"/>
    <w:rsid w:val="008F2F62"/>
    <w:rsid w:val="008F3989"/>
    <w:rsid w:val="008F42E7"/>
    <w:rsid w:val="008F440F"/>
    <w:rsid w:val="008F44C7"/>
    <w:rsid w:val="008F4714"/>
    <w:rsid w:val="008F4907"/>
    <w:rsid w:val="008F4F72"/>
    <w:rsid w:val="008F515E"/>
    <w:rsid w:val="008F5A96"/>
    <w:rsid w:val="008F5BAD"/>
    <w:rsid w:val="008F5DCC"/>
    <w:rsid w:val="008F64D3"/>
    <w:rsid w:val="008F6930"/>
    <w:rsid w:val="008F6E68"/>
    <w:rsid w:val="008F7036"/>
    <w:rsid w:val="008F7271"/>
    <w:rsid w:val="008F72E3"/>
    <w:rsid w:val="008F7B3A"/>
    <w:rsid w:val="008F7D49"/>
    <w:rsid w:val="008F7DC5"/>
    <w:rsid w:val="00900161"/>
    <w:rsid w:val="009009AC"/>
    <w:rsid w:val="009009D3"/>
    <w:rsid w:val="00900BED"/>
    <w:rsid w:val="00901369"/>
    <w:rsid w:val="00901A7A"/>
    <w:rsid w:val="00902051"/>
    <w:rsid w:val="0090231D"/>
    <w:rsid w:val="0090287D"/>
    <w:rsid w:val="00902E03"/>
    <w:rsid w:val="009031A8"/>
    <w:rsid w:val="00903777"/>
    <w:rsid w:val="0090460B"/>
    <w:rsid w:val="009050FC"/>
    <w:rsid w:val="009054CF"/>
    <w:rsid w:val="009054F6"/>
    <w:rsid w:val="0090563B"/>
    <w:rsid w:val="00905798"/>
    <w:rsid w:val="0090581A"/>
    <w:rsid w:val="00905BCA"/>
    <w:rsid w:val="0090676D"/>
    <w:rsid w:val="009069A9"/>
    <w:rsid w:val="00906FA2"/>
    <w:rsid w:val="00907313"/>
    <w:rsid w:val="0091004E"/>
    <w:rsid w:val="009104B1"/>
    <w:rsid w:val="00910580"/>
    <w:rsid w:val="00910706"/>
    <w:rsid w:val="0091070F"/>
    <w:rsid w:val="00910D25"/>
    <w:rsid w:val="00911284"/>
    <w:rsid w:val="00911628"/>
    <w:rsid w:val="009116AA"/>
    <w:rsid w:val="00911A46"/>
    <w:rsid w:val="00911D68"/>
    <w:rsid w:val="00911DE7"/>
    <w:rsid w:val="00913382"/>
    <w:rsid w:val="009133A5"/>
    <w:rsid w:val="00913678"/>
    <w:rsid w:val="009136C1"/>
    <w:rsid w:val="009139F4"/>
    <w:rsid w:val="00914015"/>
    <w:rsid w:val="00914183"/>
    <w:rsid w:val="00914554"/>
    <w:rsid w:val="00914DBD"/>
    <w:rsid w:val="009150BD"/>
    <w:rsid w:val="009153A3"/>
    <w:rsid w:val="00915808"/>
    <w:rsid w:val="0091581B"/>
    <w:rsid w:val="009158DC"/>
    <w:rsid w:val="00917235"/>
    <w:rsid w:val="00917722"/>
    <w:rsid w:val="00917902"/>
    <w:rsid w:val="0091795D"/>
    <w:rsid w:val="009179DA"/>
    <w:rsid w:val="00917F27"/>
    <w:rsid w:val="00920575"/>
    <w:rsid w:val="009206D1"/>
    <w:rsid w:val="0092077A"/>
    <w:rsid w:val="009211B4"/>
    <w:rsid w:val="00921873"/>
    <w:rsid w:val="00921BCC"/>
    <w:rsid w:val="00921E0A"/>
    <w:rsid w:val="009229B5"/>
    <w:rsid w:val="00923053"/>
    <w:rsid w:val="00923589"/>
    <w:rsid w:val="0092360B"/>
    <w:rsid w:val="0092369B"/>
    <w:rsid w:val="0092370D"/>
    <w:rsid w:val="00923C2D"/>
    <w:rsid w:val="0092433F"/>
    <w:rsid w:val="0092493A"/>
    <w:rsid w:val="00924CDD"/>
    <w:rsid w:val="00925245"/>
    <w:rsid w:val="00925270"/>
    <w:rsid w:val="0092538E"/>
    <w:rsid w:val="009266B2"/>
    <w:rsid w:val="009267C3"/>
    <w:rsid w:val="00926E08"/>
    <w:rsid w:val="009271C0"/>
    <w:rsid w:val="00927E3D"/>
    <w:rsid w:val="00927FC4"/>
    <w:rsid w:val="00930356"/>
    <w:rsid w:val="009312EC"/>
    <w:rsid w:val="0093162D"/>
    <w:rsid w:val="00931A81"/>
    <w:rsid w:val="009324DC"/>
    <w:rsid w:val="00932657"/>
    <w:rsid w:val="00932B93"/>
    <w:rsid w:val="00932DF1"/>
    <w:rsid w:val="00933739"/>
    <w:rsid w:val="00933AE3"/>
    <w:rsid w:val="009340DA"/>
    <w:rsid w:val="00934652"/>
    <w:rsid w:val="00934BCE"/>
    <w:rsid w:val="009351CF"/>
    <w:rsid w:val="00935549"/>
    <w:rsid w:val="00935C69"/>
    <w:rsid w:val="00935D70"/>
    <w:rsid w:val="009362BB"/>
    <w:rsid w:val="00936C89"/>
    <w:rsid w:val="0093762D"/>
    <w:rsid w:val="0093797F"/>
    <w:rsid w:val="00937EBA"/>
    <w:rsid w:val="00940046"/>
    <w:rsid w:val="00940E50"/>
    <w:rsid w:val="00940F5C"/>
    <w:rsid w:val="009411B0"/>
    <w:rsid w:val="009412C2"/>
    <w:rsid w:val="00941326"/>
    <w:rsid w:val="00941833"/>
    <w:rsid w:val="00941A9F"/>
    <w:rsid w:val="0094242E"/>
    <w:rsid w:val="00942519"/>
    <w:rsid w:val="00942724"/>
    <w:rsid w:val="009434E5"/>
    <w:rsid w:val="009435E6"/>
    <w:rsid w:val="00943B0A"/>
    <w:rsid w:val="00943ED6"/>
    <w:rsid w:val="00943F1C"/>
    <w:rsid w:val="00943FD3"/>
    <w:rsid w:val="0094423E"/>
    <w:rsid w:val="00944423"/>
    <w:rsid w:val="009444B5"/>
    <w:rsid w:val="00945134"/>
    <w:rsid w:val="0094565B"/>
    <w:rsid w:val="00945898"/>
    <w:rsid w:val="00946306"/>
    <w:rsid w:val="009468D8"/>
    <w:rsid w:val="0094720B"/>
    <w:rsid w:val="00947694"/>
    <w:rsid w:val="009478F0"/>
    <w:rsid w:val="00947A16"/>
    <w:rsid w:val="00947AC2"/>
    <w:rsid w:val="00947AFC"/>
    <w:rsid w:val="009502AD"/>
    <w:rsid w:val="00950399"/>
    <w:rsid w:val="00950784"/>
    <w:rsid w:val="00950954"/>
    <w:rsid w:val="00950EE2"/>
    <w:rsid w:val="0095106F"/>
    <w:rsid w:val="009511F8"/>
    <w:rsid w:val="00951373"/>
    <w:rsid w:val="009514B1"/>
    <w:rsid w:val="009515F6"/>
    <w:rsid w:val="00951AA4"/>
    <w:rsid w:val="00951FEC"/>
    <w:rsid w:val="009523AE"/>
    <w:rsid w:val="009527F9"/>
    <w:rsid w:val="00953354"/>
    <w:rsid w:val="00953C4A"/>
    <w:rsid w:val="00953CC4"/>
    <w:rsid w:val="009543DF"/>
    <w:rsid w:val="00955184"/>
    <w:rsid w:val="0095546C"/>
    <w:rsid w:val="00955BC8"/>
    <w:rsid w:val="00955D67"/>
    <w:rsid w:val="0095695A"/>
    <w:rsid w:val="009569F1"/>
    <w:rsid w:val="00957547"/>
    <w:rsid w:val="00957BEE"/>
    <w:rsid w:val="00957D6A"/>
    <w:rsid w:val="009609F5"/>
    <w:rsid w:val="00960F98"/>
    <w:rsid w:val="00961309"/>
    <w:rsid w:val="009613D5"/>
    <w:rsid w:val="00961900"/>
    <w:rsid w:val="00961B31"/>
    <w:rsid w:val="00962082"/>
    <w:rsid w:val="00962735"/>
    <w:rsid w:val="009627F2"/>
    <w:rsid w:val="00962934"/>
    <w:rsid w:val="00962B33"/>
    <w:rsid w:val="00962B65"/>
    <w:rsid w:val="009630E3"/>
    <w:rsid w:val="009633C8"/>
    <w:rsid w:val="0096370C"/>
    <w:rsid w:val="0096381D"/>
    <w:rsid w:val="0096408D"/>
    <w:rsid w:val="00964B98"/>
    <w:rsid w:val="00964DCD"/>
    <w:rsid w:val="00964EEC"/>
    <w:rsid w:val="00964FC8"/>
    <w:rsid w:val="00965471"/>
    <w:rsid w:val="00965868"/>
    <w:rsid w:val="00965900"/>
    <w:rsid w:val="009663A3"/>
    <w:rsid w:val="009669E0"/>
    <w:rsid w:val="00966ABB"/>
    <w:rsid w:val="009678B7"/>
    <w:rsid w:val="00967C02"/>
    <w:rsid w:val="00970803"/>
    <w:rsid w:val="00970958"/>
    <w:rsid w:val="00970C92"/>
    <w:rsid w:val="00971221"/>
    <w:rsid w:val="0097131A"/>
    <w:rsid w:val="0097149D"/>
    <w:rsid w:val="0097175E"/>
    <w:rsid w:val="009721FF"/>
    <w:rsid w:val="0097260D"/>
    <w:rsid w:val="00972957"/>
    <w:rsid w:val="009729ED"/>
    <w:rsid w:val="00972DAB"/>
    <w:rsid w:val="0097308C"/>
    <w:rsid w:val="009731B2"/>
    <w:rsid w:val="00973386"/>
    <w:rsid w:val="0097375E"/>
    <w:rsid w:val="00973BCC"/>
    <w:rsid w:val="00973C8A"/>
    <w:rsid w:val="00973FDB"/>
    <w:rsid w:val="00974220"/>
    <w:rsid w:val="00974B17"/>
    <w:rsid w:val="00975563"/>
    <w:rsid w:val="009759E1"/>
    <w:rsid w:val="00975B4E"/>
    <w:rsid w:val="00975E8C"/>
    <w:rsid w:val="0098057F"/>
    <w:rsid w:val="00980A7C"/>
    <w:rsid w:val="00980D5E"/>
    <w:rsid w:val="00981D40"/>
    <w:rsid w:val="00982595"/>
    <w:rsid w:val="0098273B"/>
    <w:rsid w:val="009828EE"/>
    <w:rsid w:val="009833CF"/>
    <w:rsid w:val="00983426"/>
    <w:rsid w:val="009837B4"/>
    <w:rsid w:val="00983807"/>
    <w:rsid w:val="0098390B"/>
    <w:rsid w:val="00983AAC"/>
    <w:rsid w:val="00984006"/>
    <w:rsid w:val="00984060"/>
    <w:rsid w:val="009848BA"/>
    <w:rsid w:val="00984C0D"/>
    <w:rsid w:val="00984CBC"/>
    <w:rsid w:val="009850F4"/>
    <w:rsid w:val="0098512D"/>
    <w:rsid w:val="009854B5"/>
    <w:rsid w:val="00985AA1"/>
    <w:rsid w:val="00985CE8"/>
    <w:rsid w:val="00985D9E"/>
    <w:rsid w:val="009863D9"/>
    <w:rsid w:val="009868F1"/>
    <w:rsid w:val="00987977"/>
    <w:rsid w:val="00987B30"/>
    <w:rsid w:val="00987E1C"/>
    <w:rsid w:val="00990741"/>
    <w:rsid w:val="0099290F"/>
    <w:rsid w:val="00992B9E"/>
    <w:rsid w:val="00992C61"/>
    <w:rsid w:val="00992FAB"/>
    <w:rsid w:val="00993628"/>
    <w:rsid w:val="00993648"/>
    <w:rsid w:val="009939C4"/>
    <w:rsid w:val="00993B70"/>
    <w:rsid w:val="00993F37"/>
    <w:rsid w:val="00994335"/>
    <w:rsid w:val="00994502"/>
    <w:rsid w:val="009946FC"/>
    <w:rsid w:val="00994898"/>
    <w:rsid w:val="00994ECA"/>
    <w:rsid w:val="00995270"/>
    <w:rsid w:val="0099547A"/>
    <w:rsid w:val="009958CE"/>
    <w:rsid w:val="009959DA"/>
    <w:rsid w:val="00995B5A"/>
    <w:rsid w:val="00995CAE"/>
    <w:rsid w:val="009967B2"/>
    <w:rsid w:val="009969F1"/>
    <w:rsid w:val="00997201"/>
    <w:rsid w:val="009975B1"/>
    <w:rsid w:val="009978BA"/>
    <w:rsid w:val="009A0367"/>
    <w:rsid w:val="009A0638"/>
    <w:rsid w:val="009A0BC2"/>
    <w:rsid w:val="009A10B9"/>
    <w:rsid w:val="009A14DA"/>
    <w:rsid w:val="009A19DE"/>
    <w:rsid w:val="009A1BC4"/>
    <w:rsid w:val="009A1EEB"/>
    <w:rsid w:val="009A1F0F"/>
    <w:rsid w:val="009A1F91"/>
    <w:rsid w:val="009A2E86"/>
    <w:rsid w:val="009A2F59"/>
    <w:rsid w:val="009A33CC"/>
    <w:rsid w:val="009A3967"/>
    <w:rsid w:val="009A418A"/>
    <w:rsid w:val="009A48AA"/>
    <w:rsid w:val="009A6115"/>
    <w:rsid w:val="009A613A"/>
    <w:rsid w:val="009A652D"/>
    <w:rsid w:val="009A6729"/>
    <w:rsid w:val="009A68A9"/>
    <w:rsid w:val="009A6EC7"/>
    <w:rsid w:val="009A6FC3"/>
    <w:rsid w:val="009A7500"/>
    <w:rsid w:val="009A760B"/>
    <w:rsid w:val="009A78CB"/>
    <w:rsid w:val="009A7B25"/>
    <w:rsid w:val="009A7D8F"/>
    <w:rsid w:val="009A7FF8"/>
    <w:rsid w:val="009B0207"/>
    <w:rsid w:val="009B0CF9"/>
    <w:rsid w:val="009B1271"/>
    <w:rsid w:val="009B12F9"/>
    <w:rsid w:val="009B1426"/>
    <w:rsid w:val="009B2426"/>
    <w:rsid w:val="009B2754"/>
    <w:rsid w:val="009B2886"/>
    <w:rsid w:val="009B2EE3"/>
    <w:rsid w:val="009B341D"/>
    <w:rsid w:val="009B34A9"/>
    <w:rsid w:val="009B429B"/>
    <w:rsid w:val="009B485A"/>
    <w:rsid w:val="009B49BE"/>
    <w:rsid w:val="009B4D82"/>
    <w:rsid w:val="009B5009"/>
    <w:rsid w:val="009B5066"/>
    <w:rsid w:val="009B6DA7"/>
    <w:rsid w:val="009B6DE5"/>
    <w:rsid w:val="009B6E76"/>
    <w:rsid w:val="009B7088"/>
    <w:rsid w:val="009B74E7"/>
    <w:rsid w:val="009B765F"/>
    <w:rsid w:val="009B77D9"/>
    <w:rsid w:val="009C000C"/>
    <w:rsid w:val="009C042C"/>
    <w:rsid w:val="009C07C0"/>
    <w:rsid w:val="009C1750"/>
    <w:rsid w:val="009C2069"/>
    <w:rsid w:val="009C280A"/>
    <w:rsid w:val="009C2C14"/>
    <w:rsid w:val="009C343E"/>
    <w:rsid w:val="009C3CAE"/>
    <w:rsid w:val="009C3D82"/>
    <w:rsid w:val="009C4327"/>
    <w:rsid w:val="009C4486"/>
    <w:rsid w:val="009C4556"/>
    <w:rsid w:val="009C4748"/>
    <w:rsid w:val="009C47C1"/>
    <w:rsid w:val="009C48B2"/>
    <w:rsid w:val="009C4EDD"/>
    <w:rsid w:val="009C5D5F"/>
    <w:rsid w:val="009C5DAA"/>
    <w:rsid w:val="009C61D4"/>
    <w:rsid w:val="009C6642"/>
    <w:rsid w:val="009C669B"/>
    <w:rsid w:val="009C6EC0"/>
    <w:rsid w:val="009C6F04"/>
    <w:rsid w:val="009C7368"/>
    <w:rsid w:val="009C7546"/>
    <w:rsid w:val="009C75F1"/>
    <w:rsid w:val="009C76E3"/>
    <w:rsid w:val="009C7ACF"/>
    <w:rsid w:val="009C7FE6"/>
    <w:rsid w:val="009D02AB"/>
    <w:rsid w:val="009D07C2"/>
    <w:rsid w:val="009D1141"/>
    <w:rsid w:val="009D1AF8"/>
    <w:rsid w:val="009D1CAF"/>
    <w:rsid w:val="009D2F92"/>
    <w:rsid w:val="009D2FAB"/>
    <w:rsid w:val="009D3399"/>
    <w:rsid w:val="009D402F"/>
    <w:rsid w:val="009D45C0"/>
    <w:rsid w:val="009D4CDC"/>
    <w:rsid w:val="009D4E9A"/>
    <w:rsid w:val="009D4F12"/>
    <w:rsid w:val="009D54BF"/>
    <w:rsid w:val="009D6344"/>
    <w:rsid w:val="009D6439"/>
    <w:rsid w:val="009D65E4"/>
    <w:rsid w:val="009D7027"/>
    <w:rsid w:val="009D712F"/>
    <w:rsid w:val="009D7583"/>
    <w:rsid w:val="009D7F1D"/>
    <w:rsid w:val="009E125B"/>
    <w:rsid w:val="009E1452"/>
    <w:rsid w:val="009E14C2"/>
    <w:rsid w:val="009E1AC7"/>
    <w:rsid w:val="009E200C"/>
    <w:rsid w:val="009E246F"/>
    <w:rsid w:val="009E2726"/>
    <w:rsid w:val="009E27A2"/>
    <w:rsid w:val="009E2938"/>
    <w:rsid w:val="009E3835"/>
    <w:rsid w:val="009E38B5"/>
    <w:rsid w:val="009E3A71"/>
    <w:rsid w:val="009E3BCC"/>
    <w:rsid w:val="009E4150"/>
    <w:rsid w:val="009E44FC"/>
    <w:rsid w:val="009E47B0"/>
    <w:rsid w:val="009E4C7B"/>
    <w:rsid w:val="009E4CDF"/>
    <w:rsid w:val="009E4E63"/>
    <w:rsid w:val="009E5A8E"/>
    <w:rsid w:val="009E6248"/>
    <w:rsid w:val="009E672C"/>
    <w:rsid w:val="009E6F5A"/>
    <w:rsid w:val="009E73A5"/>
    <w:rsid w:val="009E7AA8"/>
    <w:rsid w:val="009F0823"/>
    <w:rsid w:val="009F0958"/>
    <w:rsid w:val="009F0A07"/>
    <w:rsid w:val="009F1B51"/>
    <w:rsid w:val="009F20A6"/>
    <w:rsid w:val="009F2217"/>
    <w:rsid w:val="009F2343"/>
    <w:rsid w:val="009F23BF"/>
    <w:rsid w:val="009F2CC2"/>
    <w:rsid w:val="009F3398"/>
    <w:rsid w:val="009F3636"/>
    <w:rsid w:val="009F3802"/>
    <w:rsid w:val="009F42D9"/>
    <w:rsid w:val="009F4641"/>
    <w:rsid w:val="009F4E08"/>
    <w:rsid w:val="009F5724"/>
    <w:rsid w:val="009F587A"/>
    <w:rsid w:val="009F5AAE"/>
    <w:rsid w:val="009F5E32"/>
    <w:rsid w:val="009F6021"/>
    <w:rsid w:val="009F640C"/>
    <w:rsid w:val="009F7304"/>
    <w:rsid w:val="009F784B"/>
    <w:rsid w:val="009F7AAA"/>
    <w:rsid w:val="009F7BF3"/>
    <w:rsid w:val="009F7C8F"/>
    <w:rsid w:val="00A000BE"/>
    <w:rsid w:val="00A00765"/>
    <w:rsid w:val="00A0138E"/>
    <w:rsid w:val="00A0198F"/>
    <w:rsid w:val="00A01A08"/>
    <w:rsid w:val="00A0209D"/>
    <w:rsid w:val="00A02285"/>
    <w:rsid w:val="00A022E9"/>
    <w:rsid w:val="00A032DC"/>
    <w:rsid w:val="00A0344E"/>
    <w:rsid w:val="00A047C9"/>
    <w:rsid w:val="00A04E34"/>
    <w:rsid w:val="00A055F1"/>
    <w:rsid w:val="00A05AFA"/>
    <w:rsid w:val="00A062EA"/>
    <w:rsid w:val="00A065B5"/>
    <w:rsid w:val="00A06F59"/>
    <w:rsid w:val="00A071FC"/>
    <w:rsid w:val="00A07331"/>
    <w:rsid w:val="00A0736D"/>
    <w:rsid w:val="00A074BE"/>
    <w:rsid w:val="00A074C9"/>
    <w:rsid w:val="00A07777"/>
    <w:rsid w:val="00A079F7"/>
    <w:rsid w:val="00A1077E"/>
    <w:rsid w:val="00A10BDD"/>
    <w:rsid w:val="00A11724"/>
    <w:rsid w:val="00A11C9C"/>
    <w:rsid w:val="00A12465"/>
    <w:rsid w:val="00A12719"/>
    <w:rsid w:val="00A12781"/>
    <w:rsid w:val="00A128C3"/>
    <w:rsid w:val="00A13457"/>
    <w:rsid w:val="00A1359F"/>
    <w:rsid w:val="00A13780"/>
    <w:rsid w:val="00A13CDA"/>
    <w:rsid w:val="00A13FEC"/>
    <w:rsid w:val="00A14AA3"/>
    <w:rsid w:val="00A14DAC"/>
    <w:rsid w:val="00A14F9E"/>
    <w:rsid w:val="00A151F8"/>
    <w:rsid w:val="00A152AB"/>
    <w:rsid w:val="00A15C50"/>
    <w:rsid w:val="00A15EB1"/>
    <w:rsid w:val="00A16035"/>
    <w:rsid w:val="00A1606B"/>
    <w:rsid w:val="00A1657F"/>
    <w:rsid w:val="00A16AF9"/>
    <w:rsid w:val="00A176BF"/>
    <w:rsid w:val="00A17A78"/>
    <w:rsid w:val="00A17C58"/>
    <w:rsid w:val="00A17EDA"/>
    <w:rsid w:val="00A20654"/>
    <w:rsid w:val="00A20955"/>
    <w:rsid w:val="00A2098A"/>
    <w:rsid w:val="00A209E1"/>
    <w:rsid w:val="00A209F5"/>
    <w:rsid w:val="00A20C29"/>
    <w:rsid w:val="00A20D64"/>
    <w:rsid w:val="00A211FF"/>
    <w:rsid w:val="00A223C0"/>
    <w:rsid w:val="00A22A36"/>
    <w:rsid w:val="00A22C65"/>
    <w:rsid w:val="00A230C6"/>
    <w:rsid w:val="00A234F3"/>
    <w:rsid w:val="00A23D5A"/>
    <w:rsid w:val="00A23D81"/>
    <w:rsid w:val="00A23F48"/>
    <w:rsid w:val="00A24A9E"/>
    <w:rsid w:val="00A25F14"/>
    <w:rsid w:val="00A25F7C"/>
    <w:rsid w:val="00A261F9"/>
    <w:rsid w:val="00A26B16"/>
    <w:rsid w:val="00A26B37"/>
    <w:rsid w:val="00A26CE2"/>
    <w:rsid w:val="00A26E61"/>
    <w:rsid w:val="00A2741D"/>
    <w:rsid w:val="00A279F5"/>
    <w:rsid w:val="00A27DCB"/>
    <w:rsid w:val="00A27DF8"/>
    <w:rsid w:val="00A300D2"/>
    <w:rsid w:val="00A305ED"/>
    <w:rsid w:val="00A30614"/>
    <w:rsid w:val="00A30A53"/>
    <w:rsid w:val="00A30D88"/>
    <w:rsid w:val="00A30E9E"/>
    <w:rsid w:val="00A30F65"/>
    <w:rsid w:val="00A31948"/>
    <w:rsid w:val="00A31C11"/>
    <w:rsid w:val="00A31DB7"/>
    <w:rsid w:val="00A325B8"/>
    <w:rsid w:val="00A32D6D"/>
    <w:rsid w:val="00A33552"/>
    <w:rsid w:val="00A344B7"/>
    <w:rsid w:val="00A344CF"/>
    <w:rsid w:val="00A344E4"/>
    <w:rsid w:val="00A34703"/>
    <w:rsid w:val="00A34A6C"/>
    <w:rsid w:val="00A35097"/>
    <w:rsid w:val="00A355CC"/>
    <w:rsid w:val="00A356A4"/>
    <w:rsid w:val="00A363AC"/>
    <w:rsid w:val="00A364F3"/>
    <w:rsid w:val="00A36BAF"/>
    <w:rsid w:val="00A3735F"/>
    <w:rsid w:val="00A37417"/>
    <w:rsid w:val="00A3784C"/>
    <w:rsid w:val="00A37D0A"/>
    <w:rsid w:val="00A37E14"/>
    <w:rsid w:val="00A37E24"/>
    <w:rsid w:val="00A40013"/>
    <w:rsid w:val="00A4032E"/>
    <w:rsid w:val="00A4085B"/>
    <w:rsid w:val="00A41151"/>
    <w:rsid w:val="00A4134A"/>
    <w:rsid w:val="00A4177B"/>
    <w:rsid w:val="00A41BB9"/>
    <w:rsid w:val="00A41C4F"/>
    <w:rsid w:val="00A421C8"/>
    <w:rsid w:val="00A42624"/>
    <w:rsid w:val="00A42B88"/>
    <w:rsid w:val="00A42D0D"/>
    <w:rsid w:val="00A436FF"/>
    <w:rsid w:val="00A43F4C"/>
    <w:rsid w:val="00A441EF"/>
    <w:rsid w:val="00A44A6E"/>
    <w:rsid w:val="00A44B4A"/>
    <w:rsid w:val="00A44C88"/>
    <w:rsid w:val="00A453F1"/>
    <w:rsid w:val="00A45585"/>
    <w:rsid w:val="00A45792"/>
    <w:rsid w:val="00A45832"/>
    <w:rsid w:val="00A45C40"/>
    <w:rsid w:val="00A46496"/>
    <w:rsid w:val="00A47888"/>
    <w:rsid w:val="00A479A6"/>
    <w:rsid w:val="00A47A3D"/>
    <w:rsid w:val="00A47A3E"/>
    <w:rsid w:val="00A47ABA"/>
    <w:rsid w:val="00A47BB4"/>
    <w:rsid w:val="00A47C50"/>
    <w:rsid w:val="00A47CFB"/>
    <w:rsid w:val="00A47F26"/>
    <w:rsid w:val="00A50180"/>
    <w:rsid w:val="00A503DF"/>
    <w:rsid w:val="00A50F3C"/>
    <w:rsid w:val="00A511FE"/>
    <w:rsid w:val="00A51982"/>
    <w:rsid w:val="00A51B25"/>
    <w:rsid w:val="00A51BBB"/>
    <w:rsid w:val="00A51FDB"/>
    <w:rsid w:val="00A52153"/>
    <w:rsid w:val="00A5216D"/>
    <w:rsid w:val="00A523AC"/>
    <w:rsid w:val="00A52651"/>
    <w:rsid w:val="00A52933"/>
    <w:rsid w:val="00A52941"/>
    <w:rsid w:val="00A52B4B"/>
    <w:rsid w:val="00A5306A"/>
    <w:rsid w:val="00A53831"/>
    <w:rsid w:val="00A53D27"/>
    <w:rsid w:val="00A54654"/>
    <w:rsid w:val="00A54E70"/>
    <w:rsid w:val="00A5525A"/>
    <w:rsid w:val="00A55AAD"/>
    <w:rsid w:val="00A56065"/>
    <w:rsid w:val="00A56304"/>
    <w:rsid w:val="00A56485"/>
    <w:rsid w:val="00A56577"/>
    <w:rsid w:val="00A566F3"/>
    <w:rsid w:val="00A568DC"/>
    <w:rsid w:val="00A56929"/>
    <w:rsid w:val="00A56979"/>
    <w:rsid w:val="00A56F41"/>
    <w:rsid w:val="00A57450"/>
    <w:rsid w:val="00A576CF"/>
    <w:rsid w:val="00A577B0"/>
    <w:rsid w:val="00A57B5E"/>
    <w:rsid w:val="00A60575"/>
    <w:rsid w:val="00A6082E"/>
    <w:rsid w:val="00A6096A"/>
    <w:rsid w:val="00A61857"/>
    <w:rsid w:val="00A61A5A"/>
    <w:rsid w:val="00A61C3C"/>
    <w:rsid w:val="00A62062"/>
    <w:rsid w:val="00A622D4"/>
    <w:rsid w:val="00A623BE"/>
    <w:rsid w:val="00A624C9"/>
    <w:rsid w:val="00A628E8"/>
    <w:rsid w:val="00A6299F"/>
    <w:rsid w:val="00A62A06"/>
    <w:rsid w:val="00A62F74"/>
    <w:rsid w:val="00A6301F"/>
    <w:rsid w:val="00A638F4"/>
    <w:rsid w:val="00A63A3D"/>
    <w:rsid w:val="00A63EAD"/>
    <w:rsid w:val="00A640E9"/>
    <w:rsid w:val="00A640F4"/>
    <w:rsid w:val="00A641D0"/>
    <w:rsid w:val="00A6422F"/>
    <w:rsid w:val="00A64C27"/>
    <w:rsid w:val="00A64C7C"/>
    <w:rsid w:val="00A64D16"/>
    <w:rsid w:val="00A652E5"/>
    <w:rsid w:val="00A660E6"/>
    <w:rsid w:val="00A66203"/>
    <w:rsid w:val="00A66335"/>
    <w:rsid w:val="00A666E9"/>
    <w:rsid w:val="00A66B94"/>
    <w:rsid w:val="00A6709F"/>
    <w:rsid w:val="00A67610"/>
    <w:rsid w:val="00A67DCD"/>
    <w:rsid w:val="00A70237"/>
    <w:rsid w:val="00A70437"/>
    <w:rsid w:val="00A70E15"/>
    <w:rsid w:val="00A70EE3"/>
    <w:rsid w:val="00A71085"/>
    <w:rsid w:val="00A71169"/>
    <w:rsid w:val="00A713D9"/>
    <w:rsid w:val="00A7142A"/>
    <w:rsid w:val="00A71877"/>
    <w:rsid w:val="00A719C8"/>
    <w:rsid w:val="00A72ABE"/>
    <w:rsid w:val="00A72B0E"/>
    <w:rsid w:val="00A72CDB"/>
    <w:rsid w:val="00A72E71"/>
    <w:rsid w:val="00A72F0C"/>
    <w:rsid w:val="00A7358F"/>
    <w:rsid w:val="00A74552"/>
    <w:rsid w:val="00A74909"/>
    <w:rsid w:val="00A74970"/>
    <w:rsid w:val="00A749D9"/>
    <w:rsid w:val="00A74A5A"/>
    <w:rsid w:val="00A75284"/>
    <w:rsid w:val="00A757C3"/>
    <w:rsid w:val="00A76608"/>
    <w:rsid w:val="00A76D7E"/>
    <w:rsid w:val="00A77052"/>
    <w:rsid w:val="00A77623"/>
    <w:rsid w:val="00A77A39"/>
    <w:rsid w:val="00A77D5E"/>
    <w:rsid w:val="00A80074"/>
    <w:rsid w:val="00A8071E"/>
    <w:rsid w:val="00A8074A"/>
    <w:rsid w:val="00A80E97"/>
    <w:rsid w:val="00A8103A"/>
    <w:rsid w:val="00A81305"/>
    <w:rsid w:val="00A813A4"/>
    <w:rsid w:val="00A81727"/>
    <w:rsid w:val="00A81945"/>
    <w:rsid w:val="00A81A66"/>
    <w:rsid w:val="00A81B1B"/>
    <w:rsid w:val="00A81B60"/>
    <w:rsid w:val="00A81C44"/>
    <w:rsid w:val="00A81CC3"/>
    <w:rsid w:val="00A81EB2"/>
    <w:rsid w:val="00A827B8"/>
    <w:rsid w:val="00A828E7"/>
    <w:rsid w:val="00A82B2B"/>
    <w:rsid w:val="00A8339A"/>
    <w:rsid w:val="00A838F8"/>
    <w:rsid w:val="00A83F8E"/>
    <w:rsid w:val="00A840E0"/>
    <w:rsid w:val="00A8481A"/>
    <w:rsid w:val="00A84FF0"/>
    <w:rsid w:val="00A85674"/>
    <w:rsid w:val="00A859E6"/>
    <w:rsid w:val="00A85F38"/>
    <w:rsid w:val="00A8696C"/>
    <w:rsid w:val="00A86A04"/>
    <w:rsid w:val="00A86C9B"/>
    <w:rsid w:val="00A8706C"/>
    <w:rsid w:val="00A871AE"/>
    <w:rsid w:val="00A87299"/>
    <w:rsid w:val="00A87B7D"/>
    <w:rsid w:val="00A87F25"/>
    <w:rsid w:val="00A90831"/>
    <w:rsid w:val="00A9095D"/>
    <w:rsid w:val="00A9107B"/>
    <w:rsid w:val="00A9124B"/>
    <w:rsid w:val="00A913AE"/>
    <w:rsid w:val="00A9184F"/>
    <w:rsid w:val="00A91ACF"/>
    <w:rsid w:val="00A9238B"/>
    <w:rsid w:val="00A927E5"/>
    <w:rsid w:val="00A92C2D"/>
    <w:rsid w:val="00A93075"/>
    <w:rsid w:val="00A931B4"/>
    <w:rsid w:val="00A931BA"/>
    <w:rsid w:val="00A934C2"/>
    <w:rsid w:val="00A93739"/>
    <w:rsid w:val="00A938D7"/>
    <w:rsid w:val="00A93C40"/>
    <w:rsid w:val="00A93C5B"/>
    <w:rsid w:val="00A93CC4"/>
    <w:rsid w:val="00A94B97"/>
    <w:rsid w:val="00A94DD6"/>
    <w:rsid w:val="00A95432"/>
    <w:rsid w:val="00A963D8"/>
    <w:rsid w:val="00A96517"/>
    <w:rsid w:val="00A96990"/>
    <w:rsid w:val="00A96BD9"/>
    <w:rsid w:val="00A97291"/>
    <w:rsid w:val="00A97E3C"/>
    <w:rsid w:val="00A97FB6"/>
    <w:rsid w:val="00AA016C"/>
    <w:rsid w:val="00AA07BB"/>
    <w:rsid w:val="00AA0AB0"/>
    <w:rsid w:val="00AA0C5A"/>
    <w:rsid w:val="00AA1895"/>
    <w:rsid w:val="00AA1CEC"/>
    <w:rsid w:val="00AA1E74"/>
    <w:rsid w:val="00AA2481"/>
    <w:rsid w:val="00AA2582"/>
    <w:rsid w:val="00AA337C"/>
    <w:rsid w:val="00AA4A37"/>
    <w:rsid w:val="00AA4C8C"/>
    <w:rsid w:val="00AA4F72"/>
    <w:rsid w:val="00AA5072"/>
    <w:rsid w:val="00AA56A3"/>
    <w:rsid w:val="00AA5788"/>
    <w:rsid w:val="00AA5BEE"/>
    <w:rsid w:val="00AA5D67"/>
    <w:rsid w:val="00AA5E86"/>
    <w:rsid w:val="00AA622D"/>
    <w:rsid w:val="00AA654D"/>
    <w:rsid w:val="00AA661C"/>
    <w:rsid w:val="00AA699B"/>
    <w:rsid w:val="00AA755A"/>
    <w:rsid w:val="00AA7FD1"/>
    <w:rsid w:val="00AB02F3"/>
    <w:rsid w:val="00AB0401"/>
    <w:rsid w:val="00AB0C7D"/>
    <w:rsid w:val="00AB0D15"/>
    <w:rsid w:val="00AB10BD"/>
    <w:rsid w:val="00AB1130"/>
    <w:rsid w:val="00AB11AF"/>
    <w:rsid w:val="00AB178D"/>
    <w:rsid w:val="00AB2133"/>
    <w:rsid w:val="00AB2259"/>
    <w:rsid w:val="00AB23B4"/>
    <w:rsid w:val="00AB2D52"/>
    <w:rsid w:val="00AB340D"/>
    <w:rsid w:val="00AB38FA"/>
    <w:rsid w:val="00AB3DBC"/>
    <w:rsid w:val="00AB3DF8"/>
    <w:rsid w:val="00AB44F4"/>
    <w:rsid w:val="00AB4530"/>
    <w:rsid w:val="00AB45AE"/>
    <w:rsid w:val="00AB495B"/>
    <w:rsid w:val="00AB5EE6"/>
    <w:rsid w:val="00AB6418"/>
    <w:rsid w:val="00AB65D6"/>
    <w:rsid w:val="00AB6A3E"/>
    <w:rsid w:val="00AB6B19"/>
    <w:rsid w:val="00AB7C84"/>
    <w:rsid w:val="00AB7D7B"/>
    <w:rsid w:val="00AC0860"/>
    <w:rsid w:val="00AC0899"/>
    <w:rsid w:val="00AC0A4B"/>
    <w:rsid w:val="00AC0B76"/>
    <w:rsid w:val="00AC0D59"/>
    <w:rsid w:val="00AC101F"/>
    <w:rsid w:val="00AC19F4"/>
    <w:rsid w:val="00AC2614"/>
    <w:rsid w:val="00AC27FC"/>
    <w:rsid w:val="00AC2884"/>
    <w:rsid w:val="00AC351A"/>
    <w:rsid w:val="00AC3653"/>
    <w:rsid w:val="00AC3B89"/>
    <w:rsid w:val="00AC409A"/>
    <w:rsid w:val="00AC43F5"/>
    <w:rsid w:val="00AC4501"/>
    <w:rsid w:val="00AC457E"/>
    <w:rsid w:val="00AC4742"/>
    <w:rsid w:val="00AC483A"/>
    <w:rsid w:val="00AC4AD7"/>
    <w:rsid w:val="00AC5377"/>
    <w:rsid w:val="00AC56C3"/>
    <w:rsid w:val="00AC588C"/>
    <w:rsid w:val="00AC5CC1"/>
    <w:rsid w:val="00AC6184"/>
    <w:rsid w:val="00AC67B5"/>
    <w:rsid w:val="00AC73F6"/>
    <w:rsid w:val="00AC777F"/>
    <w:rsid w:val="00AD05DF"/>
    <w:rsid w:val="00AD0744"/>
    <w:rsid w:val="00AD154B"/>
    <w:rsid w:val="00AD1624"/>
    <w:rsid w:val="00AD18D1"/>
    <w:rsid w:val="00AD20DE"/>
    <w:rsid w:val="00AD2241"/>
    <w:rsid w:val="00AD22CB"/>
    <w:rsid w:val="00AD265C"/>
    <w:rsid w:val="00AD28C0"/>
    <w:rsid w:val="00AD3935"/>
    <w:rsid w:val="00AD397A"/>
    <w:rsid w:val="00AD443A"/>
    <w:rsid w:val="00AD45E0"/>
    <w:rsid w:val="00AD46CF"/>
    <w:rsid w:val="00AD4BFE"/>
    <w:rsid w:val="00AD4F1A"/>
    <w:rsid w:val="00AD56EF"/>
    <w:rsid w:val="00AD5E3D"/>
    <w:rsid w:val="00AD6446"/>
    <w:rsid w:val="00AE0063"/>
    <w:rsid w:val="00AE00B7"/>
    <w:rsid w:val="00AE0897"/>
    <w:rsid w:val="00AE1050"/>
    <w:rsid w:val="00AE12A4"/>
    <w:rsid w:val="00AE163E"/>
    <w:rsid w:val="00AE17A6"/>
    <w:rsid w:val="00AE1E85"/>
    <w:rsid w:val="00AE2095"/>
    <w:rsid w:val="00AE2171"/>
    <w:rsid w:val="00AE2853"/>
    <w:rsid w:val="00AE2D2F"/>
    <w:rsid w:val="00AE383D"/>
    <w:rsid w:val="00AE38E2"/>
    <w:rsid w:val="00AE41E9"/>
    <w:rsid w:val="00AE4515"/>
    <w:rsid w:val="00AE47A7"/>
    <w:rsid w:val="00AE4949"/>
    <w:rsid w:val="00AE4B28"/>
    <w:rsid w:val="00AE542B"/>
    <w:rsid w:val="00AE588A"/>
    <w:rsid w:val="00AE5A70"/>
    <w:rsid w:val="00AE63EB"/>
    <w:rsid w:val="00AE6453"/>
    <w:rsid w:val="00AE6805"/>
    <w:rsid w:val="00AE6EFE"/>
    <w:rsid w:val="00AF0775"/>
    <w:rsid w:val="00AF1319"/>
    <w:rsid w:val="00AF165D"/>
    <w:rsid w:val="00AF2333"/>
    <w:rsid w:val="00AF2670"/>
    <w:rsid w:val="00AF2B1B"/>
    <w:rsid w:val="00AF33C2"/>
    <w:rsid w:val="00AF3E9A"/>
    <w:rsid w:val="00AF3EEB"/>
    <w:rsid w:val="00AF4133"/>
    <w:rsid w:val="00AF46B9"/>
    <w:rsid w:val="00AF4BCC"/>
    <w:rsid w:val="00AF4F6A"/>
    <w:rsid w:val="00AF51D9"/>
    <w:rsid w:val="00AF5330"/>
    <w:rsid w:val="00AF5504"/>
    <w:rsid w:val="00AF55C2"/>
    <w:rsid w:val="00AF5712"/>
    <w:rsid w:val="00AF5725"/>
    <w:rsid w:val="00AF64ED"/>
    <w:rsid w:val="00AF6927"/>
    <w:rsid w:val="00AF737A"/>
    <w:rsid w:val="00AF7569"/>
    <w:rsid w:val="00AF784F"/>
    <w:rsid w:val="00AF78A0"/>
    <w:rsid w:val="00AF7912"/>
    <w:rsid w:val="00AF7FD0"/>
    <w:rsid w:val="00B00174"/>
    <w:rsid w:val="00B005A2"/>
    <w:rsid w:val="00B006F2"/>
    <w:rsid w:val="00B00DEE"/>
    <w:rsid w:val="00B0128B"/>
    <w:rsid w:val="00B01869"/>
    <w:rsid w:val="00B01C63"/>
    <w:rsid w:val="00B0208C"/>
    <w:rsid w:val="00B02146"/>
    <w:rsid w:val="00B023B2"/>
    <w:rsid w:val="00B0362A"/>
    <w:rsid w:val="00B03667"/>
    <w:rsid w:val="00B03776"/>
    <w:rsid w:val="00B03911"/>
    <w:rsid w:val="00B03AE3"/>
    <w:rsid w:val="00B03C50"/>
    <w:rsid w:val="00B03E39"/>
    <w:rsid w:val="00B044E3"/>
    <w:rsid w:val="00B04E3B"/>
    <w:rsid w:val="00B04ED5"/>
    <w:rsid w:val="00B05053"/>
    <w:rsid w:val="00B053B6"/>
    <w:rsid w:val="00B05D06"/>
    <w:rsid w:val="00B0612D"/>
    <w:rsid w:val="00B06D21"/>
    <w:rsid w:val="00B06F5E"/>
    <w:rsid w:val="00B07266"/>
    <w:rsid w:val="00B07301"/>
    <w:rsid w:val="00B0769F"/>
    <w:rsid w:val="00B07D63"/>
    <w:rsid w:val="00B07DA2"/>
    <w:rsid w:val="00B07FC6"/>
    <w:rsid w:val="00B101A8"/>
    <w:rsid w:val="00B101D7"/>
    <w:rsid w:val="00B10637"/>
    <w:rsid w:val="00B10E0E"/>
    <w:rsid w:val="00B10E9E"/>
    <w:rsid w:val="00B115E6"/>
    <w:rsid w:val="00B11901"/>
    <w:rsid w:val="00B121C2"/>
    <w:rsid w:val="00B12409"/>
    <w:rsid w:val="00B12AF8"/>
    <w:rsid w:val="00B12B15"/>
    <w:rsid w:val="00B12CCD"/>
    <w:rsid w:val="00B12DC0"/>
    <w:rsid w:val="00B12EEA"/>
    <w:rsid w:val="00B132E1"/>
    <w:rsid w:val="00B13389"/>
    <w:rsid w:val="00B13703"/>
    <w:rsid w:val="00B1372B"/>
    <w:rsid w:val="00B1378E"/>
    <w:rsid w:val="00B14253"/>
    <w:rsid w:val="00B14390"/>
    <w:rsid w:val="00B143E0"/>
    <w:rsid w:val="00B14C7E"/>
    <w:rsid w:val="00B15482"/>
    <w:rsid w:val="00B15593"/>
    <w:rsid w:val="00B15EB9"/>
    <w:rsid w:val="00B166C2"/>
    <w:rsid w:val="00B166D0"/>
    <w:rsid w:val="00B16C01"/>
    <w:rsid w:val="00B16DAD"/>
    <w:rsid w:val="00B17297"/>
    <w:rsid w:val="00B1731B"/>
    <w:rsid w:val="00B17450"/>
    <w:rsid w:val="00B17BC7"/>
    <w:rsid w:val="00B20CE4"/>
    <w:rsid w:val="00B20DFC"/>
    <w:rsid w:val="00B21054"/>
    <w:rsid w:val="00B217EF"/>
    <w:rsid w:val="00B218AE"/>
    <w:rsid w:val="00B22CFC"/>
    <w:rsid w:val="00B2320B"/>
    <w:rsid w:val="00B23862"/>
    <w:rsid w:val="00B2467A"/>
    <w:rsid w:val="00B2494F"/>
    <w:rsid w:val="00B24DDD"/>
    <w:rsid w:val="00B24FE8"/>
    <w:rsid w:val="00B24FFB"/>
    <w:rsid w:val="00B253DF"/>
    <w:rsid w:val="00B254C0"/>
    <w:rsid w:val="00B25D2D"/>
    <w:rsid w:val="00B26068"/>
    <w:rsid w:val="00B264A9"/>
    <w:rsid w:val="00B276BD"/>
    <w:rsid w:val="00B27CDF"/>
    <w:rsid w:val="00B3011A"/>
    <w:rsid w:val="00B305DC"/>
    <w:rsid w:val="00B306D6"/>
    <w:rsid w:val="00B32160"/>
    <w:rsid w:val="00B328D8"/>
    <w:rsid w:val="00B329FF"/>
    <w:rsid w:val="00B32F48"/>
    <w:rsid w:val="00B330CB"/>
    <w:rsid w:val="00B3343D"/>
    <w:rsid w:val="00B33733"/>
    <w:rsid w:val="00B33743"/>
    <w:rsid w:val="00B33AAF"/>
    <w:rsid w:val="00B33EDB"/>
    <w:rsid w:val="00B34027"/>
    <w:rsid w:val="00B34421"/>
    <w:rsid w:val="00B34753"/>
    <w:rsid w:val="00B34D2B"/>
    <w:rsid w:val="00B35422"/>
    <w:rsid w:val="00B35660"/>
    <w:rsid w:val="00B3587D"/>
    <w:rsid w:val="00B358C2"/>
    <w:rsid w:val="00B3627E"/>
    <w:rsid w:val="00B36342"/>
    <w:rsid w:val="00B3663F"/>
    <w:rsid w:val="00B36875"/>
    <w:rsid w:val="00B37185"/>
    <w:rsid w:val="00B3784F"/>
    <w:rsid w:val="00B37EAB"/>
    <w:rsid w:val="00B37F01"/>
    <w:rsid w:val="00B37F41"/>
    <w:rsid w:val="00B400E3"/>
    <w:rsid w:val="00B40155"/>
    <w:rsid w:val="00B40543"/>
    <w:rsid w:val="00B4070F"/>
    <w:rsid w:val="00B40808"/>
    <w:rsid w:val="00B40F52"/>
    <w:rsid w:val="00B410C3"/>
    <w:rsid w:val="00B412C9"/>
    <w:rsid w:val="00B41390"/>
    <w:rsid w:val="00B414F0"/>
    <w:rsid w:val="00B415E7"/>
    <w:rsid w:val="00B4178C"/>
    <w:rsid w:val="00B41DEA"/>
    <w:rsid w:val="00B4230F"/>
    <w:rsid w:val="00B43230"/>
    <w:rsid w:val="00B44611"/>
    <w:rsid w:val="00B45579"/>
    <w:rsid w:val="00B455DC"/>
    <w:rsid w:val="00B457A9"/>
    <w:rsid w:val="00B45D90"/>
    <w:rsid w:val="00B46DD0"/>
    <w:rsid w:val="00B46F30"/>
    <w:rsid w:val="00B46FAA"/>
    <w:rsid w:val="00B4773F"/>
    <w:rsid w:val="00B47DEF"/>
    <w:rsid w:val="00B47E7F"/>
    <w:rsid w:val="00B50A67"/>
    <w:rsid w:val="00B50D09"/>
    <w:rsid w:val="00B50D0E"/>
    <w:rsid w:val="00B50EB6"/>
    <w:rsid w:val="00B51089"/>
    <w:rsid w:val="00B52AEE"/>
    <w:rsid w:val="00B53086"/>
    <w:rsid w:val="00B5325B"/>
    <w:rsid w:val="00B539D0"/>
    <w:rsid w:val="00B53DB2"/>
    <w:rsid w:val="00B5409A"/>
    <w:rsid w:val="00B54258"/>
    <w:rsid w:val="00B54261"/>
    <w:rsid w:val="00B54342"/>
    <w:rsid w:val="00B544B3"/>
    <w:rsid w:val="00B54690"/>
    <w:rsid w:val="00B550CE"/>
    <w:rsid w:val="00B555D0"/>
    <w:rsid w:val="00B55AA6"/>
    <w:rsid w:val="00B55BB4"/>
    <w:rsid w:val="00B55E68"/>
    <w:rsid w:val="00B55F62"/>
    <w:rsid w:val="00B560D6"/>
    <w:rsid w:val="00B562DA"/>
    <w:rsid w:val="00B56688"/>
    <w:rsid w:val="00B5672A"/>
    <w:rsid w:val="00B57116"/>
    <w:rsid w:val="00B575E8"/>
    <w:rsid w:val="00B57A4B"/>
    <w:rsid w:val="00B57EBE"/>
    <w:rsid w:val="00B57FA3"/>
    <w:rsid w:val="00B600A3"/>
    <w:rsid w:val="00B6017C"/>
    <w:rsid w:val="00B605A0"/>
    <w:rsid w:val="00B606CB"/>
    <w:rsid w:val="00B60717"/>
    <w:rsid w:val="00B612AA"/>
    <w:rsid w:val="00B61646"/>
    <w:rsid w:val="00B62270"/>
    <w:rsid w:val="00B6270D"/>
    <w:rsid w:val="00B62836"/>
    <w:rsid w:val="00B63075"/>
    <w:rsid w:val="00B63A0A"/>
    <w:rsid w:val="00B63D76"/>
    <w:rsid w:val="00B64076"/>
    <w:rsid w:val="00B65042"/>
    <w:rsid w:val="00B651DF"/>
    <w:rsid w:val="00B6549E"/>
    <w:rsid w:val="00B65801"/>
    <w:rsid w:val="00B65E14"/>
    <w:rsid w:val="00B65EF6"/>
    <w:rsid w:val="00B66504"/>
    <w:rsid w:val="00B67772"/>
    <w:rsid w:val="00B7049E"/>
    <w:rsid w:val="00B70A12"/>
    <w:rsid w:val="00B70ACF"/>
    <w:rsid w:val="00B70E88"/>
    <w:rsid w:val="00B70F90"/>
    <w:rsid w:val="00B71200"/>
    <w:rsid w:val="00B71A6B"/>
    <w:rsid w:val="00B71C34"/>
    <w:rsid w:val="00B71C41"/>
    <w:rsid w:val="00B72129"/>
    <w:rsid w:val="00B722AA"/>
    <w:rsid w:val="00B7266E"/>
    <w:rsid w:val="00B72805"/>
    <w:rsid w:val="00B729E3"/>
    <w:rsid w:val="00B72CA0"/>
    <w:rsid w:val="00B730FD"/>
    <w:rsid w:val="00B7316D"/>
    <w:rsid w:val="00B736E2"/>
    <w:rsid w:val="00B73A33"/>
    <w:rsid w:val="00B73FBC"/>
    <w:rsid w:val="00B74337"/>
    <w:rsid w:val="00B749DA"/>
    <w:rsid w:val="00B749EA"/>
    <w:rsid w:val="00B74A61"/>
    <w:rsid w:val="00B74C4E"/>
    <w:rsid w:val="00B74D1A"/>
    <w:rsid w:val="00B74ED0"/>
    <w:rsid w:val="00B755EA"/>
    <w:rsid w:val="00B7572A"/>
    <w:rsid w:val="00B75922"/>
    <w:rsid w:val="00B75B2D"/>
    <w:rsid w:val="00B75F91"/>
    <w:rsid w:val="00B7610F"/>
    <w:rsid w:val="00B761D1"/>
    <w:rsid w:val="00B76A56"/>
    <w:rsid w:val="00B76AF8"/>
    <w:rsid w:val="00B76D2C"/>
    <w:rsid w:val="00B76E60"/>
    <w:rsid w:val="00B76E7E"/>
    <w:rsid w:val="00B804AC"/>
    <w:rsid w:val="00B804E2"/>
    <w:rsid w:val="00B80640"/>
    <w:rsid w:val="00B80687"/>
    <w:rsid w:val="00B8075F"/>
    <w:rsid w:val="00B8092A"/>
    <w:rsid w:val="00B811ED"/>
    <w:rsid w:val="00B81858"/>
    <w:rsid w:val="00B82451"/>
    <w:rsid w:val="00B82646"/>
    <w:rsid w:val="00B82D70"/>
    <w:rsid w:val="00B830D5"/>
    <w:rsid w:val="00B8314C"/>
    <w:rsid w:val="00B8399D"/>
    <w:rsid w:val="00B839ED"/>
    <w:rsid w:val="00B83DB5"/>
    <w:rsid w:val="00B83FE6"/>
    <w:rsid w:val="00B84500"/>
    <w:rsid w:val="00B84C25"/>
    <w:rsid w:val="00B84EB8"/>
    <w:rsid w:val="00B84F09"/>
    <w:rsid w:val="00B84F51"/>
    <w:rsid w:val="00B85163"/>
    <w:rsid w:val="00B85650"/>
    <w:rsid w:val="00B858D0"/>
    <w:rsid w:val="00B86CD3"/>
    <w:rsid w:val="00B870D9"/>
    <w:rsid w:val="00B87151"/>
    <w:rsid w:val="00B879C1"/>
    <w:rsid w:val="00B879D7"/>
    <w:rsid w:val="00B87D4D"/>
    <w:rsid w:val="00B900DD"/>
    <w:rsid w:val="00B90A04"/>
    <w:rsid w:val="00B90A7A"/>
    <w:rsid w:val="00B9133C"/>
    <w:rsid w:val="00B913E6"/>
    <w:rsid w:val="00B914D6"/>
    <w:rsid w:val="00B917DC"/>
    <w:rsid w:val="00B91A0A"/>
    <w:rsid w:val="00B924C2"/>
    <w:rsid w:val="00B931C8"/>
    <w:rsid w:val="00B9332D"/>
    <w:rsid w:val="00B938A3"/>
    <w:rsid w:val="00B93CF4"/>
    <w:rsid w:val="00B943B0"/>
    <w:rsid w:val="00B951B2"/>
    <w:rsid w:val="00B95560"/>
    <w:rsid w:val="00B96058"/>
    <w:rsid w:val="00B962C7"/>
    <w:rsid w:val="00B9678C"/>
    <w:rsid w:val="00B9693A"/>
    <w:rsid w:val="00B96EDA"/>
    <w:rsid w:val="00B97F55"/>
    <w:rsid w:val="00BA025F"/>
    <w:rsid w:val="00BA0E8E"/>
    <w:rsid w:val="00BA12FD"/>
    <w:rsid w:val="00BA1A58"/>
    <w:rsid w:val="00BA1DC0"/>
    <w:rsid w:val="00BA1EE7"/>
    <w:rsid w:val="00BA1FD8"/>
    <w:rsid w:val="00BA2741"/>
    <w:rsid w:val="00BA2CD1"/>
    <w:rsid w:val="00BA38DB"/>
    <w:rsid w:val="00BA3A70"/>
    <w:rsid w:val="00BA3FC9"/>
    <w:rsid w:val="00BA4212"/>
    <w:rsid w:val="00BA4539"/>
    <w:rsid w:val="00BA4646"/>
    <w:rsid w:val="00BA4E9D"/>
    <w:rsid w:val="00BA50A8"/>
    <w:rsid w:val="00BA55D7"/>
    <w:rsid w:val="00BA5605"/>
    <w:rsid w:val="00BA5616"/>
    <w:rsid w:val="00BA5767"/>
    <w:rsid w:val="00BA5F0B"/>
    <w:rsid w:val="00BA6555"/>
    <w:rsid w:val="00BA65D9"/>
    <w:rsid w:val="00BA6A4A"/>
    <w:rsid w:val="00BA6B43"/>
    <w:rsid w:val="00BA6BC0"/>
    <w:rsid w:val="00BA6ED8"/>
    <w:rsid w:val="00BA7A5C"/>
    <w:rsid w:val="00BA7DA8"/>
    <w:rsid w:val="00BA7EA9"/>
    <w:rsid w:val="00BA7F31"/>
    <w:rsid w:val="00BB02E8"/>
    <w:rsid w:val="00BB06F4"/>
    <w:rsid w:val="00BB0745"/>
    <w:rsid w:val="00BB09DD"/>
    <w:rsid w:val="00BB0E94"/>
    <w:rsid w:val="00BB0FE5"/>
    <w:rsid w:val="00BB129F"/>
    <w:rsid w:val="00BB1566"/>
    <w:rsid w:val="00BB1573"/>
    <w:rsid w:val="00BB2091"/>
    <w:rsid w:val="00BB20CD"/>
    <w:rsid w:val="00BB21F1"/>
    <w:rsid w:val="00BB2BE3"/>
    <w:rsid w:val="00BB3882"/>
    <w:rsid w:val="00BB40A5"/>
    <w:rsid w:val="00BB48EE"/>
    <w:rsid w:val="00BB49DC"/>
    <w:rsid w:val="00BB4AEF"/>
    <w:rsid w:val="00BB5024"/>
    <w:rsid w:val="00BB52D6"/>
    <w:rsid w:val="00BB54E2"/>
    <w:rsid w:val="00BB6004"/>
    <w:rsid w:val="00BB6AE7"/>
    <w:rsid w:val="00BB6D9A"/>
    <w:rsid w:val="00BB703E"/>
    <w:rsid w:val="00BB721D"/>
    <w:rsid w:val="00BB7261"/>
    <w:rsid w:val="00BB7C95"/>
    <w:rsid w:val="00BC077C"/>
    <w:rsid w:val="00BC0D99"/>
    <w:rsid w:val="00BC0FE7"/>
    <w:rsid w:val="00BC1C89"/>
    <w:rsid w:val="00BC2475"/>
    <w:rsid w:val="00BC2590"/>
    <w:rsid w:val="00BC2683"/>
    <w:rsid w:val="00BC2BFF"/>
    <w:rsid w:val="00BC3095"/>
    <w:rsid w:val="00BC30F7"/>
    <w:rsid w:val="00BC3F80"/>
    <w:rsid w:val="00BC49B9"/>
    <w:rsid w:val="00BC4B01"/>
    <w:rsid w:val="00BC4D77"/>
    <w:rsid w:val="00BC4DEB"/>
    <w:rsid w:val="00BC4EC8"/>
    <w:rsid w:val="00BC4F29"/>
    <w:rsid w:val="00BC5D26"/>
    <w:rsid w:val="00BC5D90"/>
    <w:rsid w:val="00BC62BD"/>
    <w:rsid w:val="00BC675D"/>
    <w:rsid w:val="00BC6B93"/>
    <w:rsid w:val="00BC70EA"/>
    <w:rsid w:val="00BC754E"/>
    <w:rsid w:val="00BC773C"/>
    <w:rsid w:val="00BC799D"/>
    <w:rsid w:val="00BC7C8A"/>
    <w:rsid w:val="00BD005E"/>
    <w:rsid w:val="00BD082E"/>
    <w:rsid w:val="00BD0FF1"/>
    <w:rsid w:val="00BD1666"/>
    <w:rsid w:val="00BD1ABD"/>
    <w:rsid w:val="00BD1AE8"/>
    <w:rsid w:val="00BD1D04"/>
    <w:rsid w:val="00BD230C"/>
    <w:rsid w:val="00BD2448"/>
    <w:rsid w:val="00BD289C"/>
    <w:rsid w:val="00BD36C5"/>
    <w:rsid w:val="00BD3946"/>
    <w:rsid w:val="00BD3D10"/>
    <w:rsid w:val="00BD3D79"/>
    <w:rsid w:val="00BD3E74"/>
    <w:rsid w:val="00BD423E"/>
    <w:rsid w:val="00BD44DA"/>
    <w:rsid w:val="00BD45D6"/>
    <w:rsid w:val="00BD4820"/>
    <w:rsid w:val="00BD4E65"/>
    <w:rsid w:val="00BD4F6A"/>
    <w:rsid w:val="00BD5780"/>
    <w:rsid w:val="00BD5A87"/>
    <w:rsid w:val="00BD659C"/>
    <w:rsid w:val="00BD718D"/>
    <w:rsid w:val="00BD7EDC"/>
    <w:rsid w:val="00BE0106"/>
    <w:rsid w:val="00BE015D"/>
    <w:rsid w:val="00BE01BF"/>
    <w:rsid w:val="00BE031F"/>
    <w:rsid w:val="00BE0551"/>
    <w:rsid w:val="00BE0637"/>
    <w:rsid w:val="00BE07F0"/>
    <w:rsid w:val="00BE0AFE"/>
    <w:rsid w:val="00BE11F7"/>
    <w:rsid w:val="00BE123D"/>
    <w:rsid w:val="00BE14B8"/>
    <w:rsid w:val="00BE151C"/>
    <w:rsid w:val="00BE205B"/>
    <w:rsid w:val="00BE2364"/>
    <w:rsid w:val="00BE2746"/>
    <w:rsid w:val="00BE2AB8"/>
    <w:rsid w:val="00BE2D67"/>
    <w:rsid w:val="00BE43EE"/>
    <w:rsid w:val="00BE4441"/>
    <w:rsid w:val="00BE4808"/>
    <w:rsid w:val="00BE4B88"/>
    <w:rsid w:val="00BE4DE3"/>
    <w:rsid w:val="00BE4FF7"/>
    <w:rsid w:val="00BE535E"/>
    <w:rsid w:val="00BE59C1"/>
    <w:rsid w:val="00BE5C93"/>
    <w:rsid w:val="00BE5D13"/>
    <w:rsid w:val="00BE5E5B"/>
    <w:rsid w:val="00BE5F42"/>
    <w:rsid w:val="00BE64D9"/>
    <w:rsid w:val="00BE69F1"/>
    <w:rsid w:val="00BE6BF1"/>
    <w:rsid w:val="00BE6CDF"/>
    <w:rsid w:val="00BE795C"/>
    <w:rsid w:val="00BF0A08"/>
    <w:rsid w:val="00BF1035"/>
    <w:rsid w:val="00BF123E"/>
    <w:rsid w:val="00BF17F2"/>
    <w:rsid w:val="00BF289A"/>
    <w:rsid w:val="00BF31AF"/>
    <w:rsid w:val="00BF31EB"/>
    <w:rsid w:val="00BF33C7"/>
    <w:rsid w:val="00BF340F"/>
    <w:rsid w:val="00BF3FA3"/>
    <w:rsid w:val="00BF4B7B"/>
    <w:rsid w:val="00BF4DA5"/>
    <w:rsid w:val="00BF4E59"/>
    <w:rsid w:val="00BF4F18"/>
    <w:rsid w:val="00BF560E"/>
    <w:rsid w:val="00BF5820"/>
    <w:rsid w:val="00BF5F3B"/>
    <w:rsid w:val="00BF5FBB"/>
    <w:rsid w:val="00BF6231"/>
    <w:rsid w:val="00BF6468"/>
    <w:rsid w:val="00BF669A"/>
    <w:rsid w:val="00BF66FC"/>
    <w:rsid w:val="00BF6733"/>
    <w:rsid w:val="00BF6734"/>
    <w:rsid w:val="00BF69B1"/>
    <w:rsid w:val="00BF6AC8"/>
    <w:rsid w:val="00BF6D23"/>
    <w:rsid w:val="00BF73B4"/>
    <w:rsid w:val="00BF762C"/>
    <w:rsid w:val="00BF7FA4"/>
    <w:rsid w:val="00C00593"/>
    <w:rsid w:val="00C00B7C"/>
    <w:rsid w:val="00C016EF"/>
    <w:rsid w:val="00C0232C"/>
    <w:rsid w:val="00C02824"/>
    <w:rsid w:val="00C029D3"/>
    <w:rsid w:val="00C02C50"/>
    <w:rsid w:val="00C0303A"/>
    <w:rsid w:val="00C03485"/>
    <w:rsid w:val="00C038FD"/>
    <w:rsid w:val="00C03DF4"/>
    <w:rsid w:val="00C04844"/>
    <w:rsid w:val="00C04B49"/>
    <w:rsid w:val="00C05192"/>
    <w:rsid w:val="00C055C5"/>
    <w:rsid w:val="00C05BDF"/>
    <w:rsid w:val="00C05D55"/>
    <w:rsid w:val="00C063FB"/>
    <w:rsid w:val="00C066F1"/>
    <w:rsid w:val="00C0688E"/>
    <w:rsid w:val="00C06E4F"/>
    <w:rsid w:val="00C06EA9"/>
    <w:rsid w:val="00C06F4E"/>
    <w:rsid w:val="00C07451"/>
    <w:rsid w:val="00C0779F"/>
    <w:rsid w:val="00C10897"/>
    <w:rsid w:val="00C10A80"/>
    <w:rsid w:val="00C10DFE"/>
    <w:rsid w:val="00C1109F"/>
    <w:rsid w:val="00C11482"/>
    <w:rsid w:val="00C115AD"/>
    <w:rsid w:val="00C118C9"/>
    <w:rsid w:val="00C11AFF"/>
    <w:rsid w:val="00C11C4B"/>
    <w:rsid w:val="00C120C0"/>
    <w:rsid w:val="00C12859"/>
    <w:rsid w:val="00C14765"/>
    <w:rsid w:val="00C149DC"/>
    <w:rsid w:val="00C15817"/>
    <w:rsid w:val="00C15C46"/>
    <w:rsid w:val="00C15EF6"/>
    <w:rsid w:val="00C16D78"/>
    <w:rsid w:val="00C16E80"/>
    <w:rsid w:val="00C16F40"/>
    <w:rsid w:val="00C16FDB"/>
    <w:rsid w:val="00C17038"/>
    <w:rsid w:val="00C1759E"/>
    <w:rsid w:val="00C17FE1"/>
    <w:rsid w:val="00C20308"/>
    <w:rsid w:val="00C21525"/>
    <w:rsid w:val="00C21C44"/>
    <w:rsid w:val="00C22139"/>
    <w:rsid w:val="00C22A9E"/>
    <w:rsid w:val="00C22E71"/>
    <w:rsid w:val="00C23E2B"/>
    <w:rsid w:val="00C2409C"/>
    <w:rsid w:val="00C24163"/>
    <w:rsid w:val="00C2442F"/>
    <w:rsid w:val="00C24CC7"/>
    <w:rsid w:val="00C25CCF"/>
    <w:rsid w:val="00C26675"/>
    <w:rsid w:val="00C26C75"/>
    <w:rsid w:val="00C2767B"/>
    <w:rsid w:val="00C3025E"/>
    <w:rsid w:val="00C3136E"/>
    <w:rsid w:val="00C31550"/>
    <w:rsid w:val="00C321F2"/>
    <w:rsid w:val="00C32A1A"/>
    <w:rsid w:val="00C32BF6"/>
    <w:rsid w:val="00C33638"/>
    <w:rsid w:val="00C33836"/>
    <w:rsid w:val="00C33AAF"/>
    <w:rsid w:val="00C33AB2"/>
    <w:rsid w:val="00C33CCF"/>
    <w:rsid w:val="00C33FA6"/>
    <w:rsid w:val="00C34A56"/>
    <w:rsid w:val="00C34FF1"/>
    <w:rsid w:val="00C35622"/>
    <w:rsid w:val="00C356B9"/>
    <w:rsid w:val="00C356C9"/>
    <w:rsid w:val="00C36000"/>
    <w:rsid w:val="00C3757D"/>
    <w:rsid w:val="00C3789B"/>
    <w:rsid w:val="00C401ED"/>
    <w:rsid w:val="00C40432"/>
    <w:rsid w:val="00C404D3"/>
    <w:rsid w:val="00C40A9F"/>
    <w:rsid w:val="00C410D5"/>
    <w:rsid w:val="00C4125B"/>
    <w:rsid w:val="00C413E7"/>
    <w:rsid w:val="00C414D9"/>
    <w:rsid w:val="00C423B5"/>
    <w:rsid w:val="00C42453"/>
    <w:rsid w:val="00C4267E"/>
    <w:rsid w:val="00C426F0"/>
    <w:rsid w:val="00C43205"/>
    <w:rsid w:val="00C43CCD"/>
    <w:rsid w:val="00C443D5"/>
    <w:rsid w:val="00C4441F"/>
    <w:rsid w:val="00C44740"/>
    <w:rsid w:val="00C44A4F"/>
    <w:rsid w:val="00C44C2A"/>
    <w:rsid w:val="00C45570"/>
    <w:rsid w:val="00C45764"/>
    <w:rsid w:val="00C458BC"/>
    <w:rsid w:val="00C459AE"/>
    <w:rsid w:val="00C461C2"/>
    <w:rsid w:val="00C4650E"/>
    <w:rsid w:val="00C46ADC"/>
    <w:rsid w:val="00C47CAE"/>
    <w:rsid w:val="00C47CE9"/>
    <w:rsid w:val="00C501DF"/>
    <w:rsid w:val="00C50435"/>
    <w:rsid w:val="00C5044A"/>
    <w:rsid w:val="00C50F38"/>
    <w:rsid w:val="00C5258E"/>
    <w:rsid w:val="00C5263A"/>
    <w:rsid w:val="00C52694"/>
    <w:rsid w:val="00C527B9"/>
    <w:rsid w:val="00C52F83"/>
    <w:rsid w:val="00C53347"/>
    <w:rsid w:val="00C5343F"/>
    <w:rsid w:val="00C540C5"/>
    <w:rsid w:val="00C542D6"/>
    <w:rsid w:val="00C54F7F"/>
    <w:rsid w:val="00C55271"/>
    <w:rsid w:val="00C553B1"/>
    <w:rsid w:val="00C55713"/>
    <w:rsid w:val="00C55D84"/>
    <w:rsid w:val="00C55F35"/>
    <w:rsid w:val="00C55F97"/>
    <w:rsid w:val="00C567AE"/>
    <w:rsid w:val="00C567C6"/>
    <w:rsid w:val="00C5685C"/>
    <w:rsid w:val="00C56B8C"/>
    <w:rsid w:val="00C57070"/>
    <w:rsid w:val="00C57288"/>
    <w:rsid w:val="00C5745B"/>
    <w:rsid w:val="00C57A20"/>
    <w:rsid w:val="00C57C55"/>
    <w:rsid w:val="00C60135"/>
    <w:rsid w:val="00C60459"/>
    <w:rsid w:val="00C60B2D"/>
    <w:rsid w:val="00C613AA"/>
    <w:rsid w:val="00C618B5"/>
    <w:rsid w:val="00C618D6"/>
    <w:rsid w:val="00C618D9"/>
    <w:rsid w:val="00C61B9C"/>
    <w:rsid w:val="00C6222B"/>
    <w:rsid w:val="00C62D9A"/>
    <w:rsid w:val="00C63334"/>
    <w:rsid w:val="00C638C8"/>
    <w:rsid w:val="00C63EBD"/>
    <w:rsid w:val="00C6407B"/>
    <w:rsid w:val="00C64695"/>
    <w:rsid w:val="00C64E07"/>
    <w:rsid w:val="00C65166"/>
    <w:rsid w:val="00C651C8"/>
    <w:rsid w:val="00C651F0"/>
    <w:rsid w:val="00C65682"/>
    <w:rsid w:val="00C66094"/>
    <w:rsid w:val="00C66620"/>
    <w:rsid w:val="00C67054"/>
    <w:rsid w:val="00C670EB"/>
    <w:rsid w:val="00C67F62"/>
    <w:rsid w:val="00C70231"/>
    <w:rsid w:val="00C7046D"/>
    <w:rsid w:val="00C7078F"/>
    <w:rsid w:val="00C70CBA"/>
    <w:rsid w:val="00C7154C"/>
    <w:rsid w:val="00C7157D"/>
    <w:rsid w:val="00C71A51"/>
    <w:rsid w:val="00C71ACF"/>
    <w:rsid w:val="00C71CE7"/>
    <w:rsid w:val="00C71D61"/>
    <w:rsid w:val="00C728F7"/>
    <w:rsid w:val="00C72C53"/>
    <w:rsid w:val="00C73102"/>
    <w:rsid w:val="00C732B7"/>
    <w:rsid w:val="00C73D1F"/>
    <w:rsid w:val="00C73EC3"/>
    <w:rsid w:val="00C7443D"/>
    <w:rsid w:val="00C74BBF"/>
    <w:rsid w:val="00C74C95"/>
    <w:rsid w:val="00C74FD9"/>
    <w:rsid w:val="00C75C81"/>
    <w:rsid w:val="00C7611A"/>
    <w:rsid w:val="00C76142"/>
    <w:rsid w:val="00C76183"/>
    <w:rsid w:val="00C765D6"/>
    <w:rsid w:val="00C7665C"/>
    <w:rsid w:val="00C76DF4"/>
    <w:rsid w:val="00C77631"/>
    <w:rsid w:val="00C77654"/>
    <w:rsid w:val="00C80B4E"/>
    <w:rsid w:val="00C80D8D"/>
    <w:rsid w:val="00C81148"/>
    <w:rsid w:val="00C8136B"/>
    <w:rsid w:val="00C814C8"/>
    <w:rsid w:val="00C81566"/>
    <w:rsid w:val="00C8238F"/>
    <w:rsid w:val="00C827BF"/>
    <w:rsid w:val="00C829AD"/>
    <w:rsid w:val="00C83023"/>
    <w:rsid w:val="00C834BE"/>
    <w:rsid w:val="00C8426D"/>
    <w:rsid w:val="00C846B6"/>
    <w:rsid w:val="00C84983"/>
    <w:rsid w:val="00C84C77"/>
    <w:rsid w:val="00C8516E"/>
    <w:rsid w:val="00C85919"/>
    <w:rsid w:val="00C85D46"/>
    <w:rsid w:val="00C85E62"/>
    <w:rsid w:val="00C86007"/>
    <w:rsid w:val="00C86027"/>
    <w:rsid w:val="00C867A9"/>
    <w:rsid w:val="00C8681F"/>
    <w:rsid w:val="00C868D6"/>
    <w:rsid w:val="00C86ADE"/>
    <w:rsid w:val="00C871B0"/>
    <w:rsid w:val="00C87388"/>
    <w:rsid w:val="00C878B4"/>
    <w:rsid w:val="00C87BD0"/>
    <w:rsid w:val="00C901C9"/>
    <w:rsid w:val="00C902AA"/>
    <w:rsid w:val="00C9229C"/>
    <w:rsid w:val="00C92717"/>
    <w:rsid w:val="00C9281F"/>
    <w:rsid w:val="00C928BC"/>
    <w:rsid w:val="00C93607"/>
    <w:rsid w:val="00C93CB6"/>
    <w:rsid w:val="00C93F71"/>
    <w:rsid w:val="00C947A7"/>
    <w:rsid w:val="00C947B9"/>
    <w:rsid w:val="00C94977"/>
    <w:rsid w:val="00C94C0A"/>
    <w:rsid w:val="00C95AD0"/>
    <w:rsid w:val="00C969F3"/>
    <w:rsid w:val="00C96AEA"/>
    <w:rsid w:val="00C9760D"/>
    <w:rsid w:val="00C9768C"/>
    <w:rsid w:val="00C97888"/>
    <w:rsid w:val="00CA0146"/>
    <w:rsid w:val="00CA03E1"/>
    <w:rsid w:val="00CA0F54"/>
    <w:rsid w:val="00CA1010"/>
    <w:rsid w:val="00CA182E"/>
    <w:rsid w:val="00CA194B"/>
    <w:rsid w:val="00CA1A30"/>
    <w:rsid w:val="00CA1EA8"/>
    <w:rsid w:val="00CA1F61"/>
    <w:rsid w:val="00CA2083"/>
    <w:rsid w:val="00CA20EE"/>
    <w:rsid w:val="00CA23E0"/>
    <w:rsid w:val="00CA26D8"/>
    <w:rsid w:val="00CA282E"/>
    <w:rsid w:val="00CA378F"/>
    <w:rsid w:val="00CA3D01"/>
    <w:rsid w:val="00CA3FF7"/>
    <w:rsid w:val="00CA4028"/>
    <w:rsid w:val="00CA45D3"/>
    <w:rsid w:val="00CA46A2"/>
    <w:rsid w:val="00CA48A6"/>
    <w:rsid w:val="00CA5774"/>
    <w:rsid w:val="00CA5D06"/>
    <w:rsid w:val="00CA615D"/>
    <w:rsid w:val="00CA6243"/>
    <w:rsid w:val="00CA636A"/>
    <w:rsid w:val="00CA65FE"/>
    <w:rsid w:val="00CA6759"/>
    <w:rsid w:val="00CA68A6"/>
    <w:rsid w:val="00CA71C0"/>
    <w:rsid w:val="00CA78E9"/>
    <w:rsid w:val="00CA79E6"/>
    <w:rsid w:val="00CA7DCD"/>
    <w:rsid w:val="00CB0047"/>
    <w:rsid w:val="00CB08ED"/>
    <w:rsid w:val="00CB0C8C"/>
    <w:rsid w:val="00CB1169"/>
    <w:rsid w:val="00CB116E"/>
    <w:rsid w:val="00CB1741"/>
    <w:rsid w:val="00CB1C6C"/>
    <w:rsid w:val="00CB2400"/>
    <w:rsid w:val="00CB2EC2"/>
    <w:rsid w:val="00CB371F"/>
    <w:rsid w:val="00CB3857"/>
    <w:rsid w:val="00CB3C0C"/>
    <w:rsid w:val="00CB405E"/>
    <w:rsid w:val="00CB419F"/>
    <w:rsid w:val="00CB5265"/>
    <w:rsid w:val="00CB5B71"/>
    <w:rsid w:val="00CB6CF9"/>
    <w:rsid w:val="00CB73B7"/>
    <w:rsid w:val="00CB7A2B"/>
    <w:rsid w:val="00CB7B84"/>
    <w:rsid w:val="00CB7BD6"/>
    <w:rsid w:val="00CB7F89"/>
    <w:rsid w:val="00CC0283"/>
    <w:rsid w:val="00CC041F"/>
    <w:rsid w:val="00CC0C17"/>
    <w:rsid w:val="00CC0FB2"/>
    <w:rsid w:val="00CC1464"/>
    <w:rsid w:val="00CC153D"/>
    <w:rsid w:val="00CC16DA"/>
    <w:rsid w:val="00CC1B44"/>
    <w:rsid w:val="00CC20E2"/>
    <w:rsid w:val="00CC2390"/>
    <w:rsid w:val="00CC2596"/>
    <w:rsid w:val="00CC2BA4"/>
    <w:rsid w:val="00CC2DCB"/>
    <w:rsid w:val="00CC2F42"/>
    <w:rsid w:val="00CC38A4"/>
    <w:rsid w:val="00CC3FAD"/>
    <w:rsid w:val="00CC432A"/>
    <w:rsid w:val="00CC43DA"/>
    <w:rsid w:val="00CC470E"/>
    <w:rsid w:val="00CC48AD"/>
    <w:rsid w:val="00CC4BDA"/>
    <w:rsid w:val="00CC50BF"/>
    <w:rsid w:val="00CC5533"/>
    <w:rsid w:val="00CC5723"/>
    <w:rsid w:val="00CC58AE"/>
    <w:rsid w:val="00CC5C12"/>
    <w:rsid w:val="00CC6714"/>
    <w:rsid w:val="00CC6B19"/>
    <w:rsid w:val="00CC6BE5"/>
    <w:rsid w:val="00CC6C5C"/>
    <w:rsid w:val="00CC737F"/>
    <w:rsid w:val="00CC7C0A"/>
    <w:rsid w:val="00CC7FBE"/>
    <w:rsid w:val="00CD0B42"/>
    <w:rsid w:val="00CD0F53"/>
    <w:rsid w:val="00CD1505"/>
    <w:rsid w:val="00CD1635"/>
    <w:rsid w:val="00CD16E9"/>
    <w:rsid w:val="00CD1C18"/>
    <w:rsid w:val="00CD1E08"/>
    <w:rsid w:val="00CD1EA2"/>
    <w:rsid w:val="00CD2377"/>
    <w:rsid w:val="00CD306C"/>
    <w:rsid w:val="00CD31EE"/>
    <w:rsid w:val="00CD3257"/>
    <w:rsid w:val="00CD3605"/>
    <w:rsid w:val="00CD38E9"/>
    <w:rsid w:val="00CD3F2C"/>
    <w:rsid w:val="00CD421E"/>
    <w:rsid w:val="00CD477C"/>
    <w:rsid w:val="00CD4895"/>
    <w:rsid w:val="00CD4B33"/>
    <w:rsid w:val="00CD54E1"/>
    <w:rsid w:val="00CD59FB"/>
    <w:rsid w:val="00CD5C05"/>
    <w:rsid w:val="00CD5F08"/>
    <w:rsid w:val="00CD5FFA"/>
    <w:rsid w:val="00CD64FF"/>
    <w:rsid w:val="00CD6BB2"/>
    <w:rsid w:val="00CD6E31"/>
    <w:rsid w:val="00CD72B1"/>
    <w:rsid w:val="00CD7A5F"/>
    <w:rsid w:val="00CD7AF1"/>
    <w:rsid w:val="00CD7FEF"/>
    <w:rsid w:val="00CE0461"/>
    <w:rsid w:val="00CE0625"/>
    <w:rsid w:val="00CE0992"/>
    <w:rsid w:val="00CE187F"/>
    <w:rsid w:val="00CE18B2"/>
    <w:rsid w:val="00CE1AD8"/>
    <w:rsid w:val="00CE20C5"/>
    <w:rsid w:val="00CE2459"/>
    <w:rsid w:val="00CE2504"/>
    <w:rsid w:val="00CE2687"/>
    <w:rsid w:val="00CE2D6E"/>
    <w:rsid w:val="00CE30B2"/>
    <w:rsid w:val="00CE34E4"/>
    <w:rsid w:val="00CE3C91"/>
    <w:rsid w:val="00CE41CC"/>
    <w:rsid w:val="00CE4443"/>
    <w:rsid w:val="00CE4CA6"/>
    <w:rsid w:val="00CE50C3"/>
    <w:rsid w:val="00CE5438"/>
    <w:rsid w:val="00CE59BF"/>
    <w:rsid w:val="00CE5B42"/>
    <w:rsid w:val="00CE5C93"/>
    <w:rsid w:val="00CE6044"/>
    <w:rsid w:val="00CE6417"/>
    <w:rsid w:val="00CE6436"/>
    <w:rsid w:val="00CE6C2F"/>
    <w:rsid w:val="00CE6F2B"/>
    <w:rsid w:val="00CE72CD"/>
    <w:rsid w:val="00CE75BB"/>
    <w:rsid w:val="00CE7B5E"/>
    <w:rsid w:val="00CE7F11"/>
    <w:rsid w:val="00CF05CC"/>
    <w:rsid w:val="00CF093B"/>
    <w:rsid w:val="00CF1146"/>
    <w:rsid w:val="00CF1600"/>
    <w:rsid w:val="00CF1706"/>
    <w:rsid w:val="00CF1894"/>
    <w:rsid w:val="00CF1AFF"/>
    <w:rsid w:val="00CF1C05"/>
    <w:rsid w:val="00CF3034"/>
    <w:rsid w:val="00CF35DA"/>
    <w:rsid w:val="00CF3F53"/>
    <w:rsid w:val="00CF40D1"/>
    <w:rsid w:val="00CF44B5"/>
    <w:rsid w:val="00CF45F2"/>
    <w:rsid w:val="00CF46A5"/>
    <w:rsid w:val="00CF4A3A"/>
    <w:rsid w:val="00CF4C76"/>
    <w:rsid w:val="00CF543F"/>
    <w:rsid w:val="00CF5776"/>
    <w:rsid w:val="00CF590C"/>
    <w:rsid w:val="00CF59A6"/>
    <w:rsid w:val="00CF5A22"/>
    <w:rsid w:val="00CF5B17"/>
    <w:rsid w:val="00CF65AF"/>
    <w:rsid w:val="00CF65C1"/>
    <w:rsid w:val="00CF6F1F"/>
    <w:rsid w:val="00CF7413"/>
    <w:rsid w:val="00CF76EE"/>
    <w:rsid w:val="00CF792B"/>
    <w:rsid w:val="00CF7A56"/>
    <w:rsid w:val="00CF7E8D"/>
    <w:rsid w:val="00D0033E"/>
    <w:rsid w:val="00D0056E"/>
    <w:rsid w:val="00D00667"/>
    <w:rsid w:val="00D008E3"/>
    <w:rsid w:val="00D00A2E"/>
    <w:rsid w:val="00D01024"/>
    <w:rsid w:val="00D014B7"/>
    <w:rsid w:val="00D01603"/>
    <w:rsid w:val="00D01850"/>
    <w:rsid w:val="00D018D0"/>
    <w:rsid w:val="00D01C98"/>
    <w:rsid w:val="00D01E63"/>
    <w:rsid w:val="00D01EDC"/>
    <w:rsid w:val="00D021A6"/>
    <w:rsid w:val="00D02590"/>
    <w:rsid w:val="00D02705"/>
    <w:rsid w:val="00D02D35"/>
    <w:rsid w:val="00D02FC6"/>
    <w:rsid w:val="00D033C4"/>
    <w:rsid w:val="00D03A6E"/>
    <w:rsid w:val="00D03FF6"/>
    <w:rsid w:val="00D04367"/>
    <w:rsid w:val="00D044A0"/>
    <w:rsid w:val="00D046CD"/>
    <w:rsid w:val="00D04972"/>
    <w:rsid w:val="00D04A7C"/>
    <w:rsid w:val="00D05B8D"/>
    <w:rsid w:val="00D05E94"/>
    <w:rsid w:val="00D0683D"/>
    <w:rsid w:val="00D06ABE"/>
    <w:rsid w:val="00D06E4F"/>
    <w:rsid w:val="00D0713E"/>
    <w:rsid w:val="00D07B8E"/>
    <w:rsid w:val="00D10412"/>
    <w:rsid w:val="00D10AD0"/>
    <w:rsid w:val="00D10F65"/>
    <w:rsid w:val="00D111AC"/>
    <w:rsid w:val="00D111D0"/>
    <w:rsid w:val="00D11515"/>
    <w:rsid w:val="00D11E73"/>
    <w:rsid w:val="00D12928"/>
    <w:rsid w:val="00D12EFD"/>
    <w:rsid w:val="00D133DA"/>
    <w:rsid w:val="00D13547"/>
    <w:rsid w:val="00D13975"/>
    <w:rsid w:val="00D13AE7"/>
    <w:rsid w:val="00D13C83"/>
    <w:rsid w:val="00D13D6F"/>
    <w:rsid w:val="00D14469"/>
    <w:rsid w:val="00D14D37"/>
    <w:rsid w:val="00D14E85"/>
    <w:rsid w:val="00D151BA"/>
    <w:rsid w:val="00D156D0"/>
    <w:rsid w:val="00D157E2"/>
    <w:rsid w:val="00D16045"/>
    <w:rsid w:val="00D1625E"/>
    <w:rsid w:val="00D162C2"/>
    <w:rsid w:val="00D167EE"/>
    <w:rsid w:val="00D16C80"/>
    <w:rsid w:val="00D17714"/>
    <w:rsid w:val="00D17AA6"/>
    <w:rsid w:val="00D17D87"/>
    <w:rsid w:val="00D17DAC"/>
    <w:rsid w:val="00D17DB8"/>
    <w:rsid w:val="00D17E1B"/>
    <w:rsid w:val="00D17FC7"/>
    <w:rsid w:val="00D2069E"/>
    <w:rsid w:val="00D208B9"/>
    <w:rsid w:val="00D20977"/>
    <w:rsid w:val="00D20D23"/>
    <w:rsid w:val="00D21408"/>
    <w:rsid w:val="00D21755"/>
    <w:rsid w:val="00D22561"/>
    <w:rsid w:val="00D22C5A"/>
    <w:rsid w:val="00D2332C"/>
    <w:rsid w:val="00D2337B"/>
    <w:rsid w:val="00D23789"/>
    <w:rsid w:val="00D23B27"/>
    <w:rsid w:val="00D240EB"/>
    <w:rsid w:val="00D24159"/>
    <w:rsid w:val="00D243ED"/>
    <w:rsid w:val="00D255E2"/>
    <w:rsid w:val="00D256D8"/>
    <w:rsid w:val="00D2570C"/>
    <w:rsid w:val="00D263A2"/>
    <w:rsid w:val="00D263E8"/>
    <w:rsid w:val="00D26A6E"/>
    <w:rsid w:val="00D27DE0"/>
    <w:rsid w:val="00D27F7C"/>
    <w:rsid w:val="00D3067D"/>
    <w:rsid w:val="00D30C42"/>
    <w:rsid w:val="00D30C81"/>
    <w:rsid w:val="00D30F91"/>
    <w:rsid w:val="00D3110F"/>
    <w:rsid w:val="00D31118"/>
    <w:rsid w:val="00D31CEE"/>
    <w:rsid w:val="00D32004"/>
    <w:rsid w:val="00D3211A"/>
    <w:rsid w:val="00D32354"/>
    <w:rsid w:val="00D32C39"/>
    <w:rsid w:val="00D32EBF"/>
    <w:rsid w:val="00D32F17"/>
    <w:rsid w:val="00D3349F"/>
    <w:rsid w:val="00D338E2"/>
    <w:rsid w:val="00D3429F"/>
    <w:rsid w:val="00D346A6"/>
    <w:rsid w:val="00D348E1"/>
    <w:rsid w:val="00D35AC4"/>
    <w:rsid w:val="00D35F19"/>
    <w:rsid w:val="00D36CD8"/>
    <w:rsid w:val="00D36D22"/>
    <w:rsid w:val="00D3714A"/>
    <w:rsid w:val="00D371E3"/>
    <w:rsid w:val="00D37559"/>
    <w:rsid w:val="00D3759A"/>
    <w:rsid w:val="00D37679"/>
    <w:rsid w:val="00D4019B"/>
    <w:rsid w:val="00D40365"/>
    <w:rsid w:val="00D40C52"/>
    <w:rsid w:val="00D40FD8"/>
    <w:rsid w:val="00D415A2"/>
    <w:rsid w:val="00D415D4"/>
    <w:rsid w:val="00D41CDF"/>
    <w:rsid w:val="00D41DA1"/>
    <w:rsid w:val="00D426C8"/>
    <w:rsid w:val="00D430C1"/>
    <w:rsid w:val="00D4365D"/>
    <w:rsid w:val="00D43770"/>
    <w:rsid w:val="00D43A29"/>
    <w:rsid w:val="00D43AC0"/>
    <w:rsid w:val="00D43F94"/>
    <w:rsid w:val="00D44151"/>
    <w:rsid w:val="00D4438A"/>
    <w:rsid w:val="00D45081"/>
    <w:rsid w:val="00D45719"/>
    <w:rsid w:val="00D45967"/>
    <w:rsid w:val="00D460E7"/>
    <w:rsid w:val="00D4625D"/>
    <w:rsid w:val="00D46C08"/>
    <w:rsid w:val="00D46CC4"/>
    <w:rsid w:val="00D46D72"/>
    <w:rsid w:val="00D46E76"/>
    <w:rsid w:val="00D4741C"/>
    <w:rsid w:val="00D474B8"/>
    <w:rsid w:val="00D47963"/>
    <w:rsid w:val="00D47975"/>
    <w:rsid w:val="00D47BDD"/>
    <w:rsid w:val="00D500AA"/>
    <w:rsid w:val="00D50642"/>
    <w:rsid w:val="00D507D0"/>
    <w:rsid w:val="00D50A8C"/>
    <w:rsid w:val="00D51066"/>
    <w:rsid w:val="00D51690"/>
    <w:rsid w:val="00D5182E"/>
    <w:rsid w:val="00D51B95"/>
    <w:rsid w:val="00D51BAF"/>
    <w:rsid w:val="00D51BB8"/>
    <w:rsid w:val="00D524A7"/>
    <w:rsid w:val="00D52DDA"/>
    <w:rsid w:val="00D531A7"/>
    <w:rsid w:val="00D53235"/>
    <w:rsid w:val="00D532AD"/>
    <w:rsid w:val="00D53C0F"/>
    <w:rsid w:val="00D5412D"/>
    <w:rsid w:val="00D54188"/>
    <w:rsid w:val="00D541D9"/>
    <w:rsid w:val="00D546C5"/>
    <w:rsid w:val="00D549BD"/>
    <w:rsid w:val="00D54C9E"/>
    <w:rsid w:val="00D54F90"/>
    <w:rsid w:val="00D55DED"/>
    <w:rsid w:val="00D55EDC"/>
    <w:rsid w:val="00D5621F"/>
    <w:rsid w:val="00D5684A"/>
    <w:rsid w:val="00D56A12"/>
    <w:rsid w:val="00D56BF2"/>
    <w:rsid w:val="00D573AB"/>
    <w:rsid w:val="00D573B3"/>
    <w:rsid w:val="00D57771"/>
    <w:rsid w:val="00D5777D"/>
    <w:rsid w:val="00D57EEE"/>
    <w:rsid w:val="00D6024F"/>
    <w:rsid w:val="00D60A6F"/>
    <w:rsid w:val="00D60AFA"/>
    <w:rsid w:val="00D612E5"/>
    <w:rsid w:val="00D6136C"/>
    <w:rsid w:val="00D616A1"/>
    <w:rsid w:val="00D618F9"/>
    <w:rsid w:val="00D61A1B"/>
    <w:rsid w:val="00D61D98"/>
    <w:rsid w:val="00D6293A"/>
    <w:rsid w:val="00D62AEC"/>
    <w:rsid w:val="00D62C4D"/>
    <w:rsid w:val="00D630CD"/>
    <w:rsid w:val="00D631FE"/>
    <w:rsid w:val="00D63400"/>
    <w:rsid w:val="00D6367D"/>
    <w:rsid w:val="00D639A4"/>
    <w:rsid w:val="00D639B5"/>
    <w:rsid w:val="00D63DFA"/>
    <w:rsid w:val="00D64A78"/>
    <w:rsid w:val="00D64F40"/>
    <w:rsid w:val="00D64FCE"/>
    <w:rsid w:val="00D650CA"/>
    <w:rsid w:val="00D6510D"/>
    <w:rsid w:val="00D6589B"/>
    <w:rsid w:val="00D65A9F"/>
    <w:rsid w:val="00D65C19"/>
    <w:rsid w:val="00D66780"/>
    <w:rsid w:val="00D66785"/>
    <w:rsid w:val="00D66A38"/>
    <w:rsid w:val="00D66D76"/>
    <w:rsid w:val="00D6720E"/>
    <w:rsid w:val="00D67371"/>
    <w:rsid w:val="00D67484"/>
    <w:rsid w:val="00D67A81"/>
    <w:rsid w:val="00D67BB6"/>
    <w:rsid w:val="00D70214"/>
    <w:rsid w:val="00D70326"/>
    <w:rsid w:val="00D70625"/>
    <w:rsid w:val="00D706C9"/>
    <w:rsid w:val="00D70F7A"/>
    <w:rsid w:val="00D7142D"/>
    <w:rsid w:val="00D71633"/>
    <w:rsid w:val="00D71AA9"/>
    <w:rsid w:val="00D71BE4"/>
    <w:rsid w:val="00D71CF7"/>
    <w:rsid w:val="00D72717"/>
    <w:rsid w:val="00D72826"/>
    <w:rsid w:val="00D73500"/>
    <w:rsid w:val="00D7388B"/>
    <w:rsid w:val="00D741B5"/>
    <w:rsid w:val="00D7448D"/>
    <w:rsid w:val="00D748F4"/>
    <w:rsid w:val="00D753FB"/>
    <w:rsid w:val="00D75569"/>
    <w:rsid w:val="00D75759"/>
    <w:rsid w:val="00D75AAC"/>
    <w:rsid w:val="00D75F85"/>
    <w:rsid w:val="00D7627A"/>
    <w:rsid w:val="00D762DB"/>
    <w:rsid w:val="00D76358"/>
    <w:rsid w:val="00D76A04"/>
    <w:rsid w:val="00D76CA0"/>
    <w:rsid w:val="00D76F49"/>
    <w:rsid w:val="00D76FA7"/>
    <w:rsid w:val="00D7700D"/>
    <w:rsid w:val="00D771AE"/>
    <w:rsid w:val="00D772FA"/>
    <w:rsid w:val="00D7784E"/>
    <w:rsid w:val="00D77920"/>
    <w:rsid w:val="00D77D38"/>
    <w:rsid w:val="00D80909"/>
    <w:rsid w:val="00D81D8C"/>
    <w:rsid w:val="00D825B8"/>
    <w:rsid w:val="00D82862"/>
    <w:rsid w:val="00D829BF"/>
    <w:rsid w:val="00D82B57"/>
    <w:rsid w:val="00D82C7B"/>
    <w:rsid w:val="00D82E4E"/>
    <w:rsid w:val="00D83054"/>
    <w:rsid w:val="00D8305B"/>
    <w:rsid w:val="00D83FBA"/>
    <w:rsid w:val="00D84842"/>
    <w:rsid w:val="00D84CA6"/>
    <w:rsid w:val="00D85056"/>
    <w:rsid w:val="00D86C8A"/>
    <w:rsid w:val="00D86F24"/>
    <w:rsid w:val="00D8708D"/>
    <w:rsid w:val="00D873A7"/>
    <w:rsid w:val="00D87B15"/>
    <w:rsid w:val="00D900BD"/>
    <w:rsid w:val="00D900E0"/>
    <w:rsid w:val="00D914F6"/>
    <w:rsid w:val="00D9159E"/>
    <w:rsid w:val="00D91775"/>
    <w:rsid w:val="00D923A9"/>
    <w:rsid w:val="00D92B1B"/>
    <w:rsid w:val="00D92BCC"/>
    <w:rsid w:val="00D92C3D"/>
    <w:rsid w:val="00D932C2"/>
    <w:rsid w:val="00D9338C"/>
    <w:rsid w:val="00D93AE3"/>
    <w:rsid w:val="00D9430B"/>
    <w:rsid w:val="00D94639"/>
    <w:rsid w:val="00D94834"/>
    <w:rsid w:val="00D94B59"/>
    <w:rsid w:val="00D94B8B"/>
    <w:rsid w:val="00D94D41"/>
    <w:rsid w:val="00D94E48"/>
    <w:rsid w:val="00D954D9"/>
    <w:rsid w:val="00D95936"/>
    <w:rsid w:val="00D95B0E"/>
    <w:rsid w:val="00D95BEF"/>
    <w:rsid w:val="00D95E1B"/>
    <w:rsid w:val="00D9600D"/>
    <w:rsid w:val="00D963A4"/>
    <w:rsid w:val="00D96530"/>
    <w:rsid w:val="00D9657D"/>
    <w:rsid w:val="00D9663D"/>
    <w:rsid w:val="00D969D6"/>
    <w:rsid w:val="00D96D51"/>
    <w:rsid w:val="00D96D9D"/>
    <w:rsid w:val="00D96ED3"/>
    <w:rsid w:val="00D9728D"/>
    <w:rsid w:val="00D97DEC"/>
    <w:rsid w:val="00DA03C3"/>
    <w:rsid w:val="00DA06A7"/>
    <w:rsid w:val="00DA0705"/>
    <w:rsid w:val="00DA15F9"/>
    <w:rsid w:val="00DA1DE1"/>
    <w:rsid w:val="00DA1EA5"/>
    <w:rsid w:val="00DA260D"/>
    <w:rsid w:val="00DA28FB"/>
    <w:rsid w:val="00DA2A9C"/>
    <w:rsid w:val="00DA347D"/>
    <w:rsid w:val="00DA3F72"/>
    <w:rsid w:val="00DA427E"/>
    <w:rsid w:val="00DA456E"/>
    <w:rsid w:val="00DA49F4"/>
    <w:rsid w:val="00DA4A92"/>
    <w:rsid w:val="00DA4C91"/>
    <w:rsid w:val="00DA5272"/>
    <w:rsid w:val="00DA53A6"/>
    <w:rsid w:val="00DA58BB"/>
    <w:rsid w:val="00DA5A3A"/>
    <w:rsid w:val="00DA5F9F"/>
    <w:rsid w:val="00DA618C"/>
    <w:rsid w:val="00DA65E9"/>
    <w:rsid w:val="00DA686A"/>
    <w:rsid w:val="00DA6E6E"/>
    <w:rsid w:val="00DA7722"/>
    <w:rsid w:val="00DA7AF0"/>
    <w:rsid w:val="00DA7B0E"/>
    <w:rsid w:val="00DA7BAC"/>
    <w:rsid w:val="00DA7C25"/>
    <w:rsid w:val="00DA7CE7"/>
    <w:rsid w:val="00DB0131"/>
    <w:rsid w:val="00DB0C0B"/>
    <w:rsid w:val="00DB1930"/>
    <w:rsid w:val="00DB264C"/>
    <w:rsid w:val="00DB2A2F"/>
    <w:rsid w:val="00DB3A4B"/>
    <w:rsid w:val="00DB42BA"/>
    <w:rsid w:val="00DB495D"/>
    <w:rsid w:val="00DB4BCA"/>
    <w:rsid w:val="00DB55D1"/>
    <w:rsid w:val="00DB5679"/>
    <w:rsid w:val="00DB56E5"/>
    <w:rsid w:val="00DB5BF1"/>
    <w:rsid w:val="00DB636E"/>
    <w:rsid w:val="00DB6ACD"/>
    <w:rsid w:val="00DB6D3E"/>
    <w:rsid w:val="00DB735C"/>
    <w:rsid w:val="00DB7375"/>
    <w:rsid w:val="00DB78B3"/>
    <w:rsid w:val="00DB7D82"/>
    <w:rsid w:val="00DC0010"/>
    <w:rsid w:val="00DC0274"/>
    <w:rsid w:val="00DC0371"/>
    <w:rsid w:val="00DC0400"/>
    <w:rsid w:val="00DC04BB"/>
    <w:rsid w:val="00DC0522"/>
    <w:rsid w:val="00DC0945"/>
    <w:rsid w:val="00DC0B3D"/>
    <w:rsid w:val="00DC0CD8"/>
    <w:rsid w:val="00DC1036"/>
    <w:rsid w:val="00DC11CA"/>
    <w:rsid w:val="00DC1A77"/>
    <w:rsid w:val="00DC230C"/>
    <w:rsid w:val="00DC2384"/>
    <w:rsid w:val="00DC274C"/>
    <w:rsid w:val="00DC2772"/>
    <w:rsid w:val="00DC3203"/>
    <w:rsid w:val="00DC3291"/>
    <w:rsid w:val="00DC3310"/>
    <w:rsid w:val="00DC3410"/>
    <w:rsid w:val="00DC379B"/>
    <w:rsid w:val="00DC37FF"/>
    <w:rsid w:val="00DC39E0"/>
    <w:rsid w:val="00DC3B01"/>
    <w:rsid w:val="00DC3F43"/>
    <w:rsid w:val="00DC4056"/>
    <w:rsid w:val="00DC4484"/>
    <w:rsid w:val="00DC45A9"/>
    <w:rsid w:val="00DC4C22"/>
    <w:rsid w:val="00DC577E"/>
    <w:rsid w:val="00DC5986"/>
    <w:rsid w:val="00DC5B32"/>
    <w:rsid w:val="00DC5E97"/>
    <w:rsid w:val="00DC616B"/>
    <w:rsid w:val="00DC66BA"/>
    <w:rsid w:val="00DC67BA"/>
    <w:rsid w:val="00DC7283"/>
    <w:rsid w:val="00DC7637"/>
    <w:rsid w:val="00DC7B69"/>
    <w:rsid w:val="00DD02B7"/>
    <w:rsid w:val="00DD0635"/>
    <w:rsid w:val="00DD0660"/>
    <w:rsid w:val="00DD0803"/>
    <w:rsid w:val="00DD087C"/>
    <w:rsid w:val="00DD0E65"/>
    <w:rsid w:val="00DD0E74"/>
    <w:rsid w:val="00DD1079"/>
    <w:rsid w:val="00DD146E"/>
    <w:rsid w:val="00DD17D9"/>
    <w:rsid w:val="00DD1ADA"/>
    <w:rsid w:val="00DD20B6"/>
    <w:rsid w:val="00DD2A18"/>
    <w:rsid w:val="00DD2C98"/>
    <w:rsid w:val="00DD2EBE"/>
    <w:rsid w:val="00DD333B"/>
    <w:rsid w:val="00DD3AB6"/>
    <w:rsid w:val="00DD3E78"/>
    <w:rsid w:val="00DD3F54"/>
    <w:rsid w:val="00DD4702"/>
    <w:rsid w:val="00DD4773"/>
    <w:rsid w:val="00DD4A23"/>
    <w:rsid w:val="00DD4C9A"/>
    <w:rsid w:val="00DD4F8B"/>
    <w:rsid w:val="00DD5BF3"/>
    <w:rsid w:val="00DD5D23"/>
    <w:rsid w:val="00DD5DB6"/>
    <w:rsid w:val="00DD6B8E"/>
    <w:rsid w:val="00DD6C98"/>
    <w:rsid w:val="00DD6ED6"/>
    <w:rsid w:val="00DD7194"/>
    <w:rsid w:val="00DD71A6"/>
    <w:rsid w:val="00DE08BE"/>
    <w:rsid w:val="00DE0FB0"/>
    <w:rsid w:val="00DE129A"/>
    <w:rsid w:val="00DE1851"/>
    <w:rsid w:val="00DE19FB"/>
    <w:rsid w:val="00DE1FBE"/>
    <w:rsid w:val="00DE2401"/>
    <w:rsid w:val="00DE28B7"/>
    <w:rsid w:val="00DE30D2"/>
    <w:rsid w:val="00DE34AB"/>
    <w:rsid w:val="00DE37DF"/>
    <w:rsid w:val="00DE384C"/>
    <w:rsid w:val="00DE3B4C"/>
    <w:rsid w:val="00DE3C9C"/>
    <w:rsid w:val="00DE412C"/>
    <w:rsid w:val="00DE518D"/>
    <w:rsid w:val="00DE5A03"/>
    <w:rsid w:val="00DE63DA"/>
    <w:rsid w:val="00DE6423"/>
    <w:rsid w:val="00DE646B"/>
    <w:rsid w:val="00DE676C"/>
    <w:rsid w:val="00DE6F31"/>
    <w:rsid w:val="00DE7290"/>
    <w:rsid w:val="00DE72BC"/>
    <w:rsid w:val="00DE7444"/>
    <w:rsid w:val="00DE745B"/>
    <w:rsid w:val="00DE7603"/>
    <w:rsid w:val="00DE7AB9"/>
    <w:rsid w:val="00DF0B06"/>
    <w:rsid w:val="00DF0B25"/>
    <w:rsid w:val="00DF1A6F"/>
    <w:rsid w:val="00DF25B3"/>
    <w:rsid w:val="00DF2821"/>
    <w:rsid w:val="00DF2B1A"/>
    <w:rsid w:val="00DF2D33"/>
    <w:rsid w:val="00DF2DA8"/>
    <w:rsid w:val="00DF3602"/>
    <w:rsid w:val="00DF37BD"/>
    <w:rsid w:val="00DF3979"/>
    <w:rsid w:val="00DF42EC"/>
    <w:rsid w:val="00DF444C"/>
    <w:rsid w:val="00DF496C"/>
    <w:rsid w:val="00DF4D97"/>
    <w:rsid w:val="00DF4FDD"/>
    <w:rsid w:val="00DF508A"/>
    <w:rsid w:val="00DF545D"/>
    <w:rsid w:val="00DF554D"/>
    <w:rsid w:val="00DF55F1"/>
    <w:rsid w:val="00DF583E"/>
    <w:rsid w:val="00DF59A3"/>
    <w:rsid w:val="00DF5DE2"/>
    <w:rsid w:val="00DF5EB5"/>
    <w:rsid w:val="00DF6204"/>
    <w:rsid w:val="00DF623F"/>
    <w:rsid w:val="00DF643E"/>
    <w:rsid w:val="00DF65EE"/>
    <w:rsid w:val="00DF72AB"/>
    <w:rsid w:val="00DF7426"/>
    <w:rsid w:val="00DF76F8"/>
    <w:rsid w:val="00DF7A34"/>
    <w:rsid w:val="00DF7B1E"/>
    <w:rsid w:val="00DF7B75"/>
    <w:rsid w:val="00DF7CA2"/>
    <w:rsid w:val="00DF7DA1"/>
    <w:rsid w:val="00E005FA"/>
    <w:rsid w:val="00E007C8"/>
    <w:rsid w:val="00E00D0A"/>
    <w:rsid w:val="00E010D6"/>
    <w:rsid w:val="00E0145E"/>
    <w:rsid w:val="00E01B03"/>
    <w:rsid w:val="00E01B52"/>
    <w:rsid w:val="00E01CB9"/>
    <w:rsid w:val="00E01E22"/>
    <w:rsid w:val="00E02284"/>
    <w:rsid w:val="00E02A7F"/>
    <w:rsid w:val="00E02AA0"/>
    <w:rsid w:val="00E02BB9"/>
    <w:rsid w:val="00E030C9"/>
    <w:rsid w:val="00E039E0"/>
    <w:rsid w:val="00E03AF6"/>
    <w:rsid w:val="00E047B5"/>
    <w:rsid w:val="00E04E54"/>
    <w:rsid w:val="00E050E2"/>
    <w:rsid w:val="00E051A9"/>
    <w:rsid w:val="00E051C8"/>
    <w:rsid w:val="00E05D0C"/>
    <w:rsid w:val="00E063F9"/>
    <w:rsid w:val="00E06BD8"/>
    <w:rsid w:val="00E07207"/>
    <w:rsid w:val="00E072C4"/>
    <w:rsid w:val="00E07404"/>
    <w:rsid w:val="00E07736"/>
    <w:rsid w:val="00E077CC"/>
    <w:rsid w:val="00E07B10"/>
    <w:rsid w:val="00E103F4"/>
    <w:rsid w:val="00E10628"/>
    <w:rsid w:val="00E110DE"/>
    <w:rsid w:val="00E11190"/>
    <w:rsid w:val="00E114B3"/>
    <w:rsid w:val="00E11718"/>
    <w:rsid w:val="00E11AA5"/>
    <w:rsid w:val="00E12374"/>
    <w:rsid w:val="00E12386"/>
    <w:rsid w:val="00E1263A"/>
    <w:rsid w:val="00E13203"/>
    <w:rsid w:val="00E137DB"/>
    <w:rsid w:val="00E1422E"/>
    <w:rsid w:val="00E146D6"/>
    <w:rsid w:val="00E147D8"/>
    <w:rsid w:val="00E153AC"/>
    <w:rsid w:val="00E156EE"/>
    <w:rsid w:val="00E15A45"/>
    <w:rsid w:val="00E15B46"/>
    <w:rsid w:val="00E15DC0"/>
    <w:rsid w:val="00E15FC9"/>
    <w:rsid w:val="00E1658D"/>
    <w:rsid w:val="00E16B8B"/>
    <w:rsid w:val="00E16EAA"/>
    <w:rsid w:val="00E16EC5"/>
    <w:rsid w:val="00E17AA8"/>
    <w:rsid w:val="00E202A5"/>
    <w:rsid w:val="00E207EB"/>
    <w:rsid w:val="00E21269"/>
    <w:rsid w:val="00E213D4"/>
    <w:rsid w:val="00E219A3"/>
    <w:rsid w:val="00E2253C"/>
    <w:rsid w:val="00E2285A"/>
    <w:rsid w:val="00E22CCE"/>
    <w:rsid w:val="00E23014"/>
    <w:rsid w:val="00E23B31"/>
    <w:rsid w:val="00E23D87"/>
    <w:rsid w:val="00E24509"/>
    <w:rsid w:val="00E245C4"/>
    <w:rsid w:val="00E2499C"/>
    <w:rsid w:val="00E2506B"/>
    <w:rsid w:val="00E254F3"/>
    <w:rsid w:val="00E25664"/>
    <w:rsid w:val="00E256ED"/>
    <w:rsid w:val="00E25A8F"/>
    <w:rsid w:val="00E25C7C"/>
    <w:rsid w:val="00E25DD9"/>
    <w:rsid w:val="00E25F17"/>
    <w:rsid w:val="00E25FD2"/>
    <w:rsid w:val="00E26595"/>
    <w:rsid w:val="00E26769"/>
    <w:rsid w:val="00E26796"/>
    <w:rsid w:val="00E2688F"/>
    <w:rsid w:val="00E26E09"/>
    <w:rsid w:val="00E277F2"/>
    <w:rsid w:val="00E30718"/>
    <w:rsid w:val="00E30E7E"/>
    <w:rsid w:val="00E3168A"/>
    <w:rsid w:val="00E31B52"/>
    <w:rsid w:val="00E31BE8"/>
    <w:rsid w:val="00E31C09"/>
    <w:rsid w:val="00E3270E"/>
    <w:rsid w:val="00E330DA"/>
    <w:rsid w:val="00E33418"/>
    <w:rsid w:val="00E3376C"/>
    <w:rsid w:val="00E352B9"/>
    <w:rsid w:val="00E35363"/>
    <w:rsid w:val="00E3561E"/>
    <w:rsid w:val="00E357FE"/>
    <w:rsid w:val="00E35BBC"/>
    <w:rsid w:val="00E36291"/>
    <w:rsid w:val="00E365E0"/>
    <w:rsid w:val="00E36AE2"/>
    <w:rsid w:val="00E37C9D"/>
    <w:rsid w:val="00E40024"/>
    <w:rsid w:val="00E407EB"/>
    <w:rsid w:val="00E4091F"/>
    <w:rsid w:val="00E40B01"/>
    <w:rsid w:val="00E40B2C"/>
    <w:rsid w:val="00E412C7"/>
    <w:rsid w:val="00E4140E"/>
    <w:rsid w:val="00E4151B"/>
    <w:rsid w:val="00E41943"/>
    <w:rsid w:val="00E41993"/>
    <w:rsid w:val="00E41BA4"/>
    <w:rsid w:val="00E41C40"/>
    <w:rsid w:val="00E4233B"/>
    <w:rsid w:val="00E42443"/>
    <w:rsid w:val="00E424A9"/>
    <w:rsid w:val="00E42533"/>
    <w:rsid w:val="00E430D9"/>
    <w:rsid w:val="00E43128"/>
    <w:rsid w:val="00E43C22"/>
    <w:rsid w:val="00E43EE5"/>
    <w:rsid w:val="00E44511"/>
    <w:rsid w:val="00E4482E"/>
    <w:rsid w:val="00E448C9"/>
    <w:rsid w:val="00E448E0"/>
    <w:rsid w:val="00E45975"/>
    <w:rsid w:val="00E45C57"/>
    <w:rsid w:val="00E462F8"/>
    <w:rsid w:val="00E4645D"/>
    <w:rsid w:val="00E46684"/>
    <w:rsid w:val="00E46BFB"/>
    <w:rsid w:val="00E46C56"/>
    <w:rsid w:val="00E4725C"/>
    <w:rsid w:val="00E477FE"/>
    <w:rsid w:val="00E478EA"/>
    <w:rsid w:val="00E47F38"/>
    <w:rsid w:val="00E50E96"/>
    <w:rsid w:val="00E50EC4"/>
    <w:rsid w:val="00E51622"/>
    <w:rsid w:val="00E51721"/>
    <w:rsid w:val="00E51A44"/>
    <w:rsid w:val="00E51C58"/>
    <w:rsid w:val="00E51E8D"/>
    <w:rsid w:val="00E525B0"/>
    <w:rsid w:val="00E52B3F"/>
    <w:rsid w:val="00E52CD9"/>
    <w:rsid w:val="00E5334F"/>
    <w:rsid w:val="00E533AA"/>
    <w:rsid w:val="00E53FA8"/>
    <w:rsid w:val="00E5435E"/>
    <w:rsid w:val="00E54B37"/>
    <w:rsid w:val="00E54B78"/>
    <w:rsid w:val="00E5500F"/>
    <w:rsid w:val="00E556A5"/>
    <w:rsid w:val="00E55AA8"/>
    <w:rsid w:val="00E55E7B"/>
    <w:rsid w:val="00E55FED"/>
    <w:rsid w:val="00E5663F"/>
    <w:rsid w:val="00E5736A"/>
    <w:rsid w:val="00E57B68"/>
    <w:rsid w:val="00E57DAA"/>
    <w:rsid w:val="00E60996"/>
    <w:rsid w:val="00E61784"/>
    <w:rsid w:val="00E61822"/>
    <w:rsid w:val="00E61C2C"/>
    <w:rsid w:val="00E61D94"/>
    <w:rsid w:val="00E6219C"/>
    <w:rsid w:val="00E62353"/>
    <w:rsid w:val="00E628F9"/>
    <w:rsid w:val="00E62AFB"/>
    <w:rsid w:val="00E62CD1"/>
    <w:rsid w:val="00E63209"/>
    <w:rsid w:val="00E642C2"/>
    <w:rsid w:val="00E6439D"/>
    <w:rsid w:val="00E64EF4"/>
    <w:rsid w:val="00E650DD"/>
    <w:rsid w:val="00E65E59"/>
    <w:rsid w:val="00E664AB"/>
    <w:rsid w:val="00E665DC"/>
    <w:rsid w:val="00E6662E"/>
    <w:rsid w:val="00E66871"/>
    <w:rsid w:val="00E66D39"/>
    <w:rsid w:val="00E67CB8"/>
    <w:rsid w:val="00E67DF0"/>
    <w:rsid w:val="00E7012F"/>
    <w:rsid w:val="00E7070F"/>
    <w:rsid w:val="00E70B95"/>
    <w:rsid w:val="00E70FDD"/>
    <w:rsid w:val="00E7156D"/>
    <w:rsid w:val="00E71753"/>
    <w:rsid w:val="00E71F32"/>
    <w:rsid w:val="00E71FFE"/>
    <w:rsid w:val="00E72A04"/>
    <w:rsid w:val="00E72F3C"/>
    <w:rsid w:val="00E73623"/>
    <w:rsid w:val="00E73DA5"/>
    <w:rsid w:val="00E73DE8"/>
    <w:rsid w:val="00E73FE8"/>
    <w:rsid w:val="00E742C9"/>
    <w:rsid w:val="00E74AE9"/>
    <w:rsid w:val="00E753BB"/>
    <w:rsid w:val="00E755E1"/>
    <w:rsid w:val="00E75E34"/>
    <w:rsid w:val="00E75EB8"/>
    <w:rsid w:val="00E76C69"/>
    <w:rsid w:val="00E77191"/>
    <w:rsid w:val="00E7762F"/>
    <w:rsid w:val="00E77841"/>
    <w:rsid w:val="00E8010C"/>
    <w:rsid w:val="00E809CC"/>
    <w:rsid w:val="00E80A3C"/>
    <w:rsid w:val="00E80B3A"/>
    <w:rsid w:val="00E811C0"/>
    <w:rsid w:val="00E81327"/>
    <w:rsid w:val="00E816BA"/>
    <w:rsid w:val="00E81909"/>
    <w:rsid w:val="00E81DD1"/>
    <w:rsid w:val="00E82699"/>
    <w:rsid w:val="00E829CF"/>
    <w:rsid w:val="00E83087"/>
    <w:rsid w:val="00E831C3"/>
    <w:rsid w:val="00E836C1"/>
    <w:rsid w:val="00E8484F"/>
    <w:rsid w:val="00E84FA5"/>
    <w:rsid w:val="00E852F9"/>
    <w:rsid w:val="00E85452"/>
    <w:rsid w:val="00E85501"/>
    <w:rsid w:val="00E85758"/>
    <w:rsid w:val="00E86081"/>
    <w:rsid w:val="00E86588"/>
    <w:rsid w:val="00E86740"/>
    <w:rsid w:val="00E86AB4"/>
    <w:rsid w:val="00E86CD3"/>
    <w:rsid w:val="00E877D5"/>
    <w:rsid w:val="00E878C3"/>
    <w:rsid w:val="00E87A89"/>
    <w:rsid w:val="00E90688"/>
    <w:rsid w:val="00E906F5"/>
    <w:rsid w:val="00E92501"/>
    <w:rsid w:val="00E92C75"/>
    <w:rsid w:val="00E930A1"/>
    <w:rsid w:val="00E93A2C"/>
    <w:rsid w:val="00E946D3"/>
    <w:rsid w:val="00E94709"/>
    <w:rsid w:val="00E947B7"/>
    <w:rsid w:val="00E94C4F"/>
    <w:rsid w:val="00E9502E"/>
    <w:rsid w:val="00E95113"/>
    <w:rsid w:val="00E95177"/>
    <w:rsid w:val="00E953F0"/>
    <w:rsid w:val="00E95638"/>
    <w:rsid w:val="00E95681"/>
    <w:rsid w:val="00E95A2D"/>
    <w:rsid w:val="00E963E8"/>
    <w:rsid w:val="00E96963"/>
    <w:rsid w:val="00E9711A"/>
    <w:rsid w:val="00E971FC"/>
    <w:rsid w:val="00E973D0"/>
    <w:rsid w:val="00E973DB"/>
    <w:rsid w:val="00E97827"/>
    <w:rsid w:val="00E9794A"/>
    <w:rsid w:val="00E97A7E"/>
    <w:rsid w:val="00E97B23"/>
    <w:rsid w:val="00E97EEE"/>
    <w:rsid w:val="00EA03A7"/>
    <w:rsid w:val="00EA0459"/>
    <w:rsid w:val="00EA04CC"/>
    <w:rsid w:val="00EA059B"/>
    <w:rsid w:val="00EA1278"/>
    <w:rsid w:val="00EA1757"/>
    <w:rsid w:val="00EA1A0A"/>
    <w:rsid w:val="00EA1BE3"/>
    <w:rsid w:val="00EA2167"/>
    <w:rsid w:val="00EA22DB"/>
    <w:rsid w:val="00EA26ED"/>
    <w:rsid w:val="00EA2FD0"/>
    <w:rsid w:val="00EA3099"/>
    <w:rsid w:val="00EA357D"/>
    <w:rsid w:val="00EA3EF1"/>
    <w:rsid w:val="00EA4852"/>
    <w:rsid w:val="00EA4EC8"/>
    <w:rsid w:val="00EA54ED"/>
    <w:rsid w:val="00EA556F"/>
    <w:rsid w:val="00EA58DD"/>
    <w:rsid w:val="00EA5B85"/>
    <w:rsid w:val="00EA6019"/>
    <w:rsid w:val="00EA6D9E"/>
    <w:rsid w:val="00EA73A1"/>
    <w:rsid w:val="00EA7B2C"/>
    <w:rsid w:val="00EA7D3D"/>
    <w:rsid w:val="00EA7E31"/>
    <w:rsid w:val="00EA7F0D"/>
    <w:rsid w:val="00EB06A9"/>
    <w:rsid w:val="00EB0BA1"/>
    <w:rsid w:val="00EB0C15"/>
    <w:rsid w:val="00EB17B0"/>
    <w:rsid w:val="00EB1843"/>
    <w:rsid w:val="00EB1EA8"/>
    <w:rsid w:val="00EB24D4"/>
    <w:rsid w:val="00EB2933"/>
    <w:rsid w:val="00EB3077"/>
    <w:rsid w:val="00EB30D5"/>
    <w:rsid w:val="00EB3A24"/>
    <w:rsid w:val="00EB3D65"/>
    <w:rsid w:val="00EB3D8E"/>
    <w:rsid w:val="00EB447E"/>
    <w:rsid w:val="00EB5031"/>
    <w:rsid w:val="00EB5878"/>
    <w:rsid w:val="00EB6B1B"/>
    <w:rsid w:val="00EB7316"/>
    <w:rsid w:val="00EB734B"/>
    <w:rsid w:val="00EB73DA"/>
    <w:rsid w:val="00EB73E9"/>
    <w:rsid w:val="00EC028C"/>
    <w:rsid w:val="00EC0F6B"/>
    <w:rsid w:val="00EC13B9"/>
    <w:rsid w:val="00EC1D24"/>
    <w:rsid w:val="00EC1D5B"/>
    <w:rsid w:val="00EC1E91"/>
    <w:rsid w:val="00EC2123"/>
    <w:rsid w:val="00EC213B"/>
    <w:rsid w:val="00EC2597"/>
    <w:rsid w:val="00EC26B9"/>
    <w:rsid w:val="00EC2707"/>
    <w:rsid w:val="00EC390A"/>
    <w:rsid w:val="00EC3C22"/>
    <w:rsid w:val="00EC44E4"/>
    <w:rsid w:val="00EC49BE"/>
    <w:rsid w:val="00EC54D6"/>
    <w:rsid w:val="00EC5B93"/>
    <w:rsid w:val="00EC5C0D"/>
    <w:rsid w:val="00EC5E3D"/>
    <w:rsid w:val="00EC5EC6"/>
    <w:rsid w:val="00EC6192"/>
    <w:rsid w:val="00EC6271"/>
    <w:rsid w:val="00EC7063"/>
    <w:rsid w:val="00EC76BA"/>
    <w:rsid w:val="00EC782B"/>
    <w:rsid w:val="00EC78C6"/>
    <w:rsid w:val="00EC7C42"/>
    <w:rsid w:val="00EC7EA5"/>
    <w:rsid w:val="00ED030C"/>
    <w:rsid w:val="00ED089B"/>
    <w:rsid w:val="00ED0F8F"/>
    <w:rsid w:val="00ED116F"/>
    <w:rsid w:val="00ED11A6"/>
    <w:rsid w:val="00ED1E53"/>
    <w:rsid w:val="00ED2183"/>
    <w:rsid w:val="00ED23D5"/>
    <w:rsid w:val="00ED2A83"/>
    <w:rsid w:val="00ED338F"/>
    <w:rsid w:val="00ED353F"/>
    <w:rsid w:val="00ED4A0F"/>
    <w:rsid w:val="00ED4ED4"/>
    <w:rsid w:val="00ED4F3E"/>
    <w:rsid w:val="00ED56B5"/>
    <w:rsid w:val="00ED57F2"/>
    <w:rsid w:val="00ED5834"/>
    <w:rsid w:val="00ED5F4F"/>
    <w:rsid w:val="00ED624F"/>
    <w:rsid w:val="00ED65A9"/>
    <w:rsid w:val="00ED66EB"/>
    <w:rsid w:val="00ED670A"/>
    <w:rsid w:val="00ED69A4"/>
    <w:rsid w:val="00ED69BA"/>
    <w:rsid w:val="00ED786E"/>
    <w:rsid w:val="00ED7B55"/>
    <w:rsid w:val="00ED7B64"/>
    <w:rsid w:val="00ED7DC8"/>
    <w:rsid w:val="00ED7E69"/>
    <w:rsid w:val="00EE01D4"/>
    <w:rsid w:val="00EE0C83"/>
    <w:rsid w:val="00EE0DAB"/>
    <w:rsid w:val="00EE1117"/>
    <w:rsid w:val="00EE18C6"/>
    <w:rsid w:val="00EE2729"/>
    <w:rsid w:val="00EE2A7C"/>
    <w:rsid w:val="00EE2B64"/>
    <w:rsid w:val="00EE2D4F"/>
    <w:rsid w:val="00EE3A91"/>
    <w:rsid w:val="00EE3DF6"/>
    <w:rsid w:val="00EE49CA"/>
    <w:rsid w:val="00EE55BB"/>
    <w:rsid w:val="00EE55D9"/>
    <w:rsid w:val="00EE5D79"/>
    <w:rsid w:val="00EE5F36"/>
    <w:rsid w:val="00EE645C"/>
    <w:rsid w:val="00EE67D1"/>
    <w:rsid w:val="00EE6B98"/>
    <w:rsid w:val="00EE6BF8"/>
    <w:rsid w:val="00EE6CC9"/>
    <w:rsid w:val="00EE7214"/>
    <w:rsid w:val="00EE7260"/>
    <w:rsid w:val="00EE73C1"/>
    <w:rsid w:val="00EE7750"/>
    <w:rsid w:val="00EE7A13"/>
    <w:rsid w:val="00EF0056"/>
    <w:rsid w:val="00EF0331"/>
    <w:rsid w:val="00EF0C9B"/>
    <w:rsid w:val="00EF1037"/>
    <w:rsid w:val="00EF141D"/>
    <w:rsid w:val="00EF15DA"/>
    <w:rsid w:val="00EF1DB9"/>
    <w:rsid w:val="00EF1E0B"/>
    <w:rsid w:val="00EF21DC"/>
    <w:rsid w:val="00EF24F2"/>
    <w:rsid w:val="00EF2AF3"/>
    <w:rsid w:val="00EF2E03"/>
    <w:rsid w:val="00EF31C6"/>
    <w:rsid w:val="00EF4AE7"/>
    <w:rsid w:val="00EF4B16"/>
    <w:rsid w:val="00EF520E"/>
    <w:rsid w:val="00EF5700"/>
    <w:rsid w:val="00EF577F"/>
    <w:rsid w:val="00EF59E4"/>
    <w:rsid w:val="00EF6129"/>
    <w:rsid w:val="00EF61E2"/>
    <w:rsid w:val="00EF63B7"/>
    <w:rsid w:val="00EF660E"/>
    <w:rsid w:val="00EF66E2"/>
    <w:rsid w:val="00EF7692"/>
    <w:rsid w:val="00EF7B56"/>
    <w:rsid w:val="00EF7EC4"/>
    <w:rsid w:val="00F0060A"/>
    <w:rsid w:val="00F00803"/>
    <w:rsid w:val="00F00CFC"/>
    <w:rsid w:val="00F012CC"/>
    <w:rsid w:val="00F01316"/>
    <w:rsid w:val="00F01351"/>
    <w:rsid w:val="00F015B4"/>
    <w:rsid w:val="00F01A73"/>
    <w:rsid w:val="00F01A81"/>
    <w:rsid w:val="00F020B0"/>
    <w:rsid w:val="00F02293"/>
    <w:rsid w:val="00F022BD"/>
    <w:rsid w:val="00F0255F"/>
    <w:rsid w:val="00F03082"/>
    <w:rsid w:val="00F033B7"/>
    <w:rsid w:val="00F033D0"/>
    <w:rsid w:val="00F034CD"/>
    <w:rsid w:val="00F03E36"/>
    <w:rsid w:val="00F05104"/>
    <w:rsid w:val="00F05129"/>
    <w:rsid w:val="00F058A8"/>
    <w:rsid w:val="00F05B17"/>
    <w:rsid w:val="00F0622A"/>
    <w:rsid w:val="00F0674B"/>
    <w:rsid w:val="00F073C1"/>
    <w:rsid w:val="00F0760E"/>
    <w:rsid w:val="00F07E2C"/>
    <w:rsid w:val="00F07E5B"/>
    <w:rsid w:val="00F109BE"/>
    <w:rsid w:val="00F10C63"/>
    <w:rsid w:val="00F10CD8"/>
    <w:rsid w:val="00F1114C"/>
    <w:rsid w:val="00F11BDF"/>
    <w:rsid w:val="00F121D8"/>
    <w:rsid w:val="00F1274A"/>
    <w:rsid w:val="00F13013"/>
    <w:rsid w:val="00F136C4"/>
    <w:rsid w:val="00F13FE2"/>
    <w:rsid w:val="00F14065"/>
    <w:rsid w:val="00F141E5"/>
    <w:rsid w:val="00F14AA6"/>
    <w:rsid w:val="00F14DCD"/>
    <w:rsid w:val="00F1519D"/>
    <w:rsid w:val="00F1541D"/>
    <w:rsid w:val="00F1542E"/>
    <w:rsid w:val="00F15869"/>
    <w:rsid w:val="00F15B9B"/>
    <w:rsid w:val="00F1606B"/>
    <w:rsid w:val="00F160BA"/>
    <w:rsid w:val="00F1685A"/>
    <w:rsid w:val="00F16F0B"/>
    <w:rsid w:val="00F17254"/>
    <w:rsid w:val="00F17449"/>
    <w:rsid w:val="00F176AC"/>
    <w:rsid w:val="00F177A4"/>
    <w:rsid w:val="00F20E0D"/>
    <w:rsid w:val="00F20EF6"/>
    <w:rsid w:val="00F217EB"/>
    <w:rsid w:val="00F21959"/>
    <w:rsid w:val="00F219D4"/>
    <w:rsid w:val="00F21B92"/>
    <w:rsid w:val="00F21DFC"/>
    <w:rsid w:val="00F22446"/>
    <w:rsid w:val="00F22713"/>
    <w:rsid w:val="00F2354C"/>
    <w:rsid w:val="00F2377C"/>
    <w:rsid w:val="00F23C7F"/>
    <w:rsid w:val="00F2411B"/>
    <w:rsid w:val="00F24221"/>
    <w:rsid w:val="00F243BC"/>
    <w:rsid w:val="00F24601"/>
    <w:rsid w:val="00F2484C"/>
    <w:rsid w:val="00F24EC8"/>
    <w:rsid w:val="00F25017"/>
    <w:rsid w:val="00F2551D"/>
    <w:rsid w:val="00F2593C"/>
    <w:rsid w:val="00F25A00"/>
    <w:rsid w:val="00F25A70"/>
    <w:rsid w:val="00F263C7"/>
    <w:rsid w:val="00F26AA7"/>
    <w:rsid w:val="00F27B66"/>
    <w:rsid w:val="00F27C63"/>
    <w:rsid w:val="00F27D31"/>
    <w:rsid w:val="00F3000D"/>
    <w:rsid w:val="00F30207"/>
    <w:rsid w:val="00F3027D"/>
    <w:rsid w:val="00F3086C"/>
    <w:rsid w:val="00F30AC3"/>
    <w:rsid w:val="00F315AE"/>
    <w:rsid w:val="00F323A2"/>
    <w:rsid w:val="00F32BCD"/>
    <w:rsid w:val="00F32F45"/>
    <w:rsid w:val="00F3313B"/>
    <w:rsid w:val="00F33F18"/>
    <w:rsid w:val="00F3425A"/>
    <w:rsid w:val="00F34414"/>
    <w:rsid w:val="00F35216"/>
    <w:rsid w:val="00F352BE"/>
    <w:rsid w:val="00F35710"/>
    <w:rsid w:val="00F361AA"/>
    <w:rsid w:val="00F361DC"/>
    <w:rsid w:val="00F36E7A"/>
    <w:rsid w:val="00F37175"/>
    <w:rsid w:val="00F3747D"/>
    <w:rsid w:val="00F37743"/>
    <w:rsid w:val="00F37752"/>
    <w:rsid w:val="00F402DE"/>
    <w:rsid w:val="00F40529"/>
    <w:rsid w:val="00F40607"/>
    <w:rsid w:val="00F40658"/>
    <w:rsid w:val="00F40A47"/>
    <w:rsid w:val="00F40D4E"/>
    <w:rsid w:val="00F410D9"/>
    <w:rsid w:val="00F422E4"/>
    <w:rsid w:val="00F42784"/>
    <w:rsid w:val="00F42CDC"/>
    <w:rsid w:val="00F42CFD"/>
    <w:rsid w:val="00F42D48"/>
    <w:rsid w:val="00F4329D"/>
    <w:rsid w:val="00F43610"/>
    <w:rsid w:val="00F44A29"/>
    <w:rsid w:val="00F45444"/>
    <w:rsid w:val="00F4574D"/>
    <w:rsid w:val="00F45B7C"/>
    <w:rsid w:val="00F45FEF"/>
    <w:rsid w:val="00F46263"/>
    <w:rsid w:val="00F46505"/>
    <w:rsid w:val="00F46593"/>
    <w:rsid w:val="00F46C04"/>
    <w:rsid w:val="00F46C97"/>
    <w:rsid w:val="00F46EBA"/>
    <w:rsid w:val="00F46EE7"/>
    <w:rsid w:val="00F470B0"/>
    <w:rsid w:val="00F473FC"/>
    <w:rsid w:val="00F47471"/>
    <w:rsid w:val="00F47639"/>
    <w:rsid w:val="00F47684"/>
    <w:rsid w:val="00F47B34"/>
    <w:rsid w:val="00F47C15"/>
    <w:rsid w:val="00F47F41"/>
    <w:rsid w:val="00F5069E"/>
    <w:rsid w:val="00F50F8F"/>
    <w:rsid w:val="00F510B5"/>
    <w:rsid w:val="00F51154"/>
    <w:rsid w:val="00F51C8C"/>
    <w:rsid w:val="00F522C9"/>
    <w:rsid w:val="00F523A7"/>
    <w:rsid w:val="00F52708"/>
    <w:rsid w:val="00F52AF6"/>
    <w:rsid w:val="00F52B8B"/>
    <w:rsid w:val="00F52FD0"/>
    <w:rsid w:val="00F531CC"/>
    <w:rsid w:val="00F53681"/>
    <w:rsid w:val="00F53BDB"/>
    <w:rsid w:val="00F53C9D"/>
    <w:rsid w:val="00F553EE"/>
    <w:rsid w:val="00F5548A"/>
    <w:rsid w:val="00F5557D"/>
    <w:rsid w:val="00F555B1"/>
    <w:rsid w:val="00F55644"/>
    <w:rsid w:val="00F559AC"/>
    <w:rsid w:val="00F55C06"/>
    <w:rsid w:val="00F55C30"/>
    <w:rsid w:val="00F55C77"/>
    <w:rsid w:val="00F55F69"/>
    <w:rsid w:val="00F565EA"/>
    <w:rsid w:val="00F56B06"/>
    <w:rsid w:val="00F56DD9"/>
    <w:rsid w:val="00F56F38"/>
    <w:rsid w:val="00F57078"/>
    <w:rsid w:val="00F5717B"/>
    <w:rsid w:val="00F572A6"/>
    <w:rsid w:val="00F57A99"/>
    <w:rsid w:val="00F57B72"/>
    <w:rsid w:val="00F6058C"/>
    <w:rsid w:val="00F60726"/>
    <w:rsid w:val="00F60B5C"/>
    <w:rsid w:val="00F60F87"/>
    <w:rsid w:val="00F611C2"/>
    <w:rsid w:val="00F611DC"/>
    <w:rsid w:val="00F616F7"/>
    <w:rsid w:val="00F619B3"/>
    <w:rsid w:val="00F619DF"/>
    <w:rsid w:val="00F61D97"/>
    <w:rsid w:val="00F6208D"/>
    <w:rsid w:val="00F623F4"/>
    <w:rsid w:val="00F625DC"/>
    <w:rsid w:val="00F626EE"/>
    <w:rsid w:val="00F62709"/>
    <w:rsid w:val="00F62822"/>
    <w:rsid w:val="00F62A31"/>
    <w:rsid w:val="00F62A71"/>
    <w:rsid w:val="00F62B6B"/>
    <w:rsid w:val="00F62C59"/>
    <w:rsid w:val="00F62CC8"/>
    <w:rsid w:val="00F62DF8"/>
    <w:rsid w:val="00F62EE5"/>
    <w:rsid w:val="00F63776"/>
    <w:rsid w:val="00F63906"/>
    <w:rsid w:val="00F64208"/>
    <w:rsid w:val="00F642C0"/>
    <w:rsid w:val="00F6583F"/>
    <w:rsid w:val="00F65FB1"/>
    <w:rsid w:val="00F66147"/>
    <w:rsid w:val="00F66577"/>
    <w:rsid w:val="00F66614"/>
    <w:rsid w:val="00F66660"/>
    <w:rsid w:val="00F66D6C"/>
    <w:rsid w:val="00F66F4D"/>
    <w:rsid w:val="00F66F50"/>
    <w:rsid w:val="00F675B8"/>
    <w:rsid w:val="00F67641"/>
    <w:rsid w:val="00F679E5"/>
    <w:rsid w:val="00F67BF1"/>
    <w:rsid w:val="00F70467"/>
    <w:rsid w:val="00F706B4"/>
    <w:rsid w:val="00F70A64"/>
    <w:rsid w:val="00F70D87"/>
    <w:rsid w:val="00F70F11"/>
    <w:rsid w:val="00F70F1F"/>
    <w:rsid w:val="00F71817"/>
    <w:rsid w:val="00F71EF1"/>
    <w:rsid w:val="00F72136"/>
    <w:rsid w:val="00F72244"/>
    <w:rsid w:val="00F7231B"/>
    <w:rsid w:val="00F727F6"/>
    <w:rsid w:val="00F72A6A"/>
    <w:rsid w:val="00F72AF6"/>
    <w:rsid w:val="00F72CAF"/>
    <w:rsid w:val="00F72F3C"/>
    <w:rsid w:val="00F72FD6"/>
    <w:rsid w:val="00F73075"/>
    <w:rsid w:val="00F73441"/>
    <w:rsid w:val="00F734A7"/>
    <w:rsid w:val="00F737AE"/>
    <w:rsid w:val="00F73817"/>
    <w:rsid w:val="00F73C27"/>
    <w:rsid w:val="00F74830"/>
    <w:rsid w:val="00F7498E"/>
    <w:rsid w:val="00F74DB7"/>
    <w:rsid w:val="00F74FA1"/>
    <w:rsid w:val="00F75011"/>
    <w:rsid w:val="00F7510F"/>
    <w:rsid w:val="00F7534B"/>
    <w:rsid w:val="00F75509"/>
    <w:rsid w:val="00F75633"/>
    <w:rsid w:val="00F75642"/>
    <w:rsid w:val="00F75854"/>
    <w:rsid w:val="00F75950"/>
    <w:rsid w:val="00F75C77"/>
    <w:rsid w:val="00F769B2"/>
    <w:rsid w:val="00F76D9E"/>
    <w:rsid w:val="00F77389"/>
    <w:rsid w:val="00F7750D"/>
    <w:rsid w:val="00F776EA"/>
    <w:rsid w:val="00F80532"/>
    <w:rsid w:val="00F80666"/>
    <w:rsid w:val="00F80D37"/>
    <w:rsid w:val="00F80F75"/>
    <w:rsid w:val="00F81FC4"/>
    <w:rsid w:val="00F82B15"/>
    <w:rsid w:val="00F82F75"/>
    <w:rsid w:val="00F83471"/>
    <w:rsid w:val="00F84AAD"/>
    <w:rsid w:val="00F85073"/>
    <w:rsid w:val="00F8515A"/>
    <w:rsid w:val="00F852D1"/>
    <w:rsid w:val="00F855DC"/>
    <w:rsid w:val="00F85713"/>
    <w:rsid w:val="00F85CAE"/>
    <w:rsid w:val="00F878E9"/>
    <w:rsid w:val="00F8796E"/>
    <w:rsid w:val="00F87DCD"/>
    <w:rsid w:val="00F9013A"/>
    <w:rsid w:val="00F901A7"/>
    <w:rsid w:val="00F91916"/>
    <w:rsid w:val="00F91988"/>
    <w:rsid w:val="00F919ED"/>
    <w:rsid w:val="00F92228"/>
    <w:rsid w:val="00F92480"/>
    <w:rsid w:val="00F92618"/>
    <w:rsid w:val="00F929AF"/>
    <w:rsid w:val="00F92C45"/>
    <w:rsid w:val="00F92F73"/>
    <w:rsid w:val="00F93246"/>
    <w:rsid w:val="00F934DE"/>
    <w:rsid w:val="00F93FDB"/>
    <w:rsid w:val="00F94274"/>
    <w:rsid w:val="00F9462B"/>
    <w:rsid w:val="00F94A13"/>
    <w:rsid w:val="00F94EBC"/>
    <w:rsid w:val="00F9518B"/>
    <w:rsid w:val="00F95E89"/>
    <w:rsid w:val="00F95F1E"/>
    <w:rsid w:val="00F96135"/>
    <w:rsid w:val="00F97653"/>
    <w:rsid w:val="00F97959"/>
    <w:rsid w:val="00F97DFD"/>
    <w:rsid w:val="00F97E4F"/>
    <w:rsid w:val="00FA04B9"/>
    <w:rsid w:val="00FA07A5"/>
    <w:rsid w:val="00FA0827"/>
    <w:rsid w:val="00FA1007"/>
    <w:rsid w:val="00FA1489"/>
    <w:rsid w:val="00FA185E"/>
    <w:rsid w:val="00FA19C5"/>
    <w:rsid w:val="00FA1A20"/>
    <w:rsid w:val="00FA1ED3"/>
    <w:rsid w:val="00FA2322"/>
    <w:rsid w:val="00FA238D"/>
    <w:rsid w:val="00FA23BE"/>
    <w:rsid w:val="00FA2F05"/>
    <w:rsid w:val="00FA336B"/>
    <w:rsid w:val="00FA3661"/>
    <w:rsid w:val="00FA3992"/>
    <w:rsid w:val="00FA4ABE"/>
    <w:rsid w:val="00FA4DAB"/>
    <w:rsid w:val="00FA59F3"/>
    <w:rsid w:val="00FA60FE"/>
    <w:rsid w:val="00FA6390"/>
    <w:rsid w:val="00FA6867"/>
    <w:rsid w:val="00FA68E8"/>
    <w:rsid w:val="00FA7B96"/>
    <w:rsid w:val="00FA7D98"/>
    <w:rsid w:val="00FB0222"/>
    <w:rsid w:val="00FB0AC5"/>
    <w:rsid w:val="00FB0D9A"/>
    <w:rsid w:val="00FB2200"/>
    <w:rsid w:val="00FB2D5D"/>
    <w:rsid w:val="00FB2DA0"/>
    <w:rsid w:val="00FB324A"/>
    <w:rsid w:val="00FB3731"/>
    <w:rsid w:val="00FB3A5C"/>
    <w:rsid w:val="00FB3F68"/>
    <w:rsid w:val="00FB47BB"/>
    <w:rsid w:val="00FB541B"/>
    <w:rsid w:val="00FB572E"/>
    <w:rsid w:val="00FB57EC"/>
    <w:rsid w:val="00FB5C14"/>
    <w:rsid w:val="00FB5E3C"/>
    <w:rsid w:val="00FB6101"/>
    <w:rsid w:val="00FB62A2"/>
    <w:rsid w:val="00FB6AD0"/>
    <w:rsid w:val="00FB6D12"/>
    <w:rsid w:val="00FB6F16"/>
    <w:rsid w:val="00FB6F5A"/>
    <w:rsid w:val="00FB70C9"/>
    <w:rsid w:val="00FB7394"/>
    <w:rsid w:val="00FB78A7"/>
    <w:rsid w:val="00FB78FA"/>
    <w:rsid w:val="00FB79AB"/>
    <w:rsid w:val="00FB7CF4"/>
    <w:rsid w:val="00FC0960"/>
    <w:rsid w:val="00FC0AD3"/>
    <w:rsid w:val="00FC0B28"/>
    <w:rsid w:val="00FC10CC"/>
    <w:rsid w:val="00FC11AB"/>
    <w:rsid w:val="00FC17BD"/>
    <w:rsid w:val="00FC1A7C"/>
    <w:rsid w:val="00FC1B97"/>
    <w:rsid w:val="00FC1EDA"/>
    <w:rsid w:val="00FC2C0B"/>
    <w:rsid w:val="00FC2C53"/>
    <w:rsid w:val="00FC32AE"/>
    <w:rsid w:val="00FC3AB5"/>
    <w:rsid w:val="00FC3C92"/>
    <w:rsid w:val="00FC400E"/>
    <w:rsid w:val="00FC46BB"/>
    <w:rsid w:val="00FC475D"/>
    <w:rsid w:val="00FC488D"/>
    <w:rsid w:val="00FC4AC8"/>
    <w:rsid w:val="00FC4E9D"/>
    <w:rsid w:val="00FC5195"/>
    <w:rsid w:val="00FC534E"/>
    <w:rsid w:val="00FC59C0"/>
    <w:rsid w:val="00FC5D54"/>
    <w:rsid w:val="00FC6226"/>
    <w:rsid w:val="00FC642F"/>
    <w:rsid w:val="00FC7334"/>
    <w:rsid w:val="00FC785A"/>
    <w:rsid w:val="00FC79C3"/>
    <w:rsid w:val="00FC7D8E"/>
    <w:rsid w:val="00FD031D"/>
    <w:rsid w:val="00FD0366"/>
    <w:rsid w:val="00FD0460"/>
    <w:rsid w:val="00FD13B8"/>
    <w:rsid w:val="00FD1672"/>
    <w:rsid w:val="00FD1BBB"/>
    <w:rsid w:val="00FD1F3B"/>
    <w:rsid w:val="00FD2028"/>
    <w:rsid w:val="00FD2881"/>
    <w:rsid w:val="00FD33B7"/>
    <w:rsid w:val="00FD341F"/>
    <w:rsid w:val="00FD344D"/>
    <w:rsid w:val="00FD34A9"/>
    <w:rsid w:val="00FD3793"/>
    <w:rsid w:val="00FD3AF2"/>
    <w:rsid w:val="00FD445E"/>
    <w:rsid w:val="00FD5379"/>
    <w:rsid w:val="00FD549E"/>
    <w:rsid w:val="00FD554B"/>
    <w:rsid w:val="00FD5D92"/>
    <w:rsid w:val="00FD60E2"/>
    <w:rsid w:val="00FD6222"/>
    <w:rsid w:val="00FD6712"/>
    <w:rsid w:val="00FD6737"/>
    <w:rsid w:val="00FD67CD"/>
    <w:rsid w:val="00FD6DFA"/>
    <w:rsid w:val="00FD6E05"/>
    <w:rsid w:val="00FD704C"/>
    <w:rsid w:val="00FD75D4"/>
    <w:rsid w:val="00FE00F9"/>
    <w:rsid w:val="00FE0AD3"/>
    <w:rsid w:val="00FE0D8E"/>
    <w:rsid w:val="00FE0E84"/>
    <w:rsid w:val="00FE1175"/>
    <w:rsid w:val="00FE2072"/>
    <w:rsid w:val="00FE2392"/>
    <w:rsid w:val="00FE27CF"/>
    <w:rsid w:val="00FE2980"/>
    <w:rsid w:val="00FE2FB5"/>
    <w:rsid w:val="00FE3133"/>
    <w:rsid w:val="00FE360D"/>
    <w:rsid w:val="00FE456C"/>
    <w:rsid w:val="00FE4E65"/>
    <w:rsid w:val="00FE4FF9"/>
    <w:rsid w:val="00FE5417"/>
    <w:rsid w:val="00FE5B4F"/>
    <w:rsid w:val="00FE5BC1"/>
    <w:rsid w:val="00FE5E5E"/>
    <w:rsid w:val="00FE613B"/>
    <w:rsid w:val="00FE6145"/>
    <w:rsid w:val="00FE61B6"/>
    <w:rsid w:val="00FE67B1"/>
    <w:rsid w:val="00FE6E01"/>
    <w:rsid w:val="00FE7BCA"/>
    <w:rsid w:val="00FE7D4D"/>
    <w:rsid w:val="00FE7EC3"/>
    <w:rsid w:val="00FF0272"/>
    <w:rsid w:val="00FF0405"/>
    <w:rsid w:val="00FF0736"/>
    <w:rsid w:val="00FF0FB2"/>
    <w:rsid w:val="00FF1065"/>
    <w:rsid w:val="00FF1C4A"/>
    <w:rsid w:val="00FF2162"/>
    <w:rsid w:val="00FF2E67"/>
    <w:rsid w:val="00FF2F6B"/>
    <w:rsid w:val="00FF32C2"/>
    <w:rsid w:val="00FF352F"/>
    <w:rsid w:val="00FF39A2"/>
    <w:rsid w:val="00FF3B42"/>
    <w:rsid w:val="00FF44A8"/>
    <w:rsid w:val="00FF468F"/>
    <w:rsid w:val="00FF4A45"/>
    <w:rsid w:val="00FF509D"/>
    <w:rsid w:val="00FF50C0"/>
    <w:rsid w:val="00FF5CBD"/>
    <w:rsid w:val="00FF5D2E"/>
    <w:rsid w:val="00FF6157"/>
    <w:rsid w:val="00FF6163"/>
    <w:rsid w:val="00FF6346"/>
    <w:rsid w:val="00FF6CDF"/>
    <w:rsid w:val="00FF6D6D"/>
    <w:rsid w:val="00FF76C0"/>
    <w:rsid w:val="00FF781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70ACD593"/>
  <w15:docId w15:val="{7A3C762A-B942-41E0-8029-1BEBFE932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alanoGrotesque-Light" w:eastAsiaTheme="minorHAnsi" w:hAnsi="GalanoGrotesque-Light" w:cstheme="minorBidi"/>
        <w:sz w:val="24"/>
        <w:szCs w:val="24"/>
        <w:lang w:val="es-ES" w:eastAsia="en-US" w:bidi="ar-SA"/>
      </w:rPr>
    </w:rPrDefault>
    <w:pPrDefault>
      <w:pPr>
        <w:spacing w:before="60" w:after="6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000D"/>
  </w:style>
  <w:style w:type="paragraph" w:styleId="Ttulo1">
    <w:name w:val="heading 1"/>
    <w:basedOn w:val="Normal"/>
    <w:next w:val="Normal"/>
    <w:link w:val="Ttulo1Car"/>
    <w:uiPriority w:val="9"/>
    <w:qFormat/>
    <w:rsid w:val="00C57A20"/>
    <w:pPr>
      <w:keepNext/>
      <w:keepLines/>
      <w:spacing w:before="240" w:after="0"/>
      <w:outlineLvl w:val="0"/>
    </w:pPr>
    <w:rPr>
      <w:rFonts w:ascii="GalanoGrotesque-Bold" w:eastAsiaTheme="majorEastAsia" w:hAnsi="GalanoGrotesque-Bold" w:cstheme="majorBidi"/>
      <w:color w:val="000000" w:themeColor="text1"/>
      <w:sz w:val="40"/>
      <w:szCs w:val="32"/>
    </w:rPr>
  </w:style>
  <w:style w:type="paragraph" w:styleId="Ttulo2">
    <w:name w:val="heading 2"/>
    <w:basedOn w:val="Normal"/>
    <w:next w:val="Normal"/>
    <w:link w:val="Ttulo2Car"/>
    <w:uiPriority w:val="9"/>
    <w:unhideWhenUsed/>
    <w:qFormat/>
    <w:rsid w:val="00C57A20"/>
    <w:pPr>
      <w:keepNext/>
      <w:keepLines/>
      <w:spacing w:before="40" w:after="0"/>
      <w:outlineLvl w:val="1"/>
    </w:pPr>
    <w:rPr>
      <w:rFonts w:ascii="GalanoGrotesque-Bold" w:eastAsiaTheme="majorEastAsia" w:hAnsi="GalanoGrotesque-Bold" w:cstheme="majorBidi"/>
      <w:color w:val="000000" w:themeColor="text1"/>
      <w:sz w:val="32"/>
      <w:szCs w:val="26"/>
    </w:rPr>
  </w:style>
  <w:style w:type="paragraph" w:styleId="Ttulo3">
    <w:name w:val="heading 3"/>
    <w:basedOn w:val="Normal"/>
    <w:next w:val="Normal"/>
    <w:link w:val="Ttulo3Car"/>
    <w:uiPriority w:val="9"/>
    <w:unhideWhenUsed/>
    <w:qFormat/>
    <w:rsid w:val="00C57A20"/>
    <w:pPr>
      <w:keepNext/>
      <w:keepLines/>
      <w:spacing w:before="40" w:after="0"/>
      <w:outlineLvl w:val="2"/>
    </w:pPr>
    <w:rPr>
      <w:rFonts w:ascii="GalanoGrotesque-Bold" w:eastAsiaTheme="majorEastAsia" w:hAnsi="GalanoGrotesque-Bold" w:cstheme="majorBidi"/>
      <w:sz w:val="28"/>
    </w:rPr>
  </w:style>
  <w:style w:type="paragraph" w:styleId="Ttulo4">
    <w:name w:val="heading 4"/>
    <w:basedOn w:val="Normal"/>
    <w:next w:val="Normal"/>
    <w:link w:val="Ttulo4Car"/>
    <w:uiPriority w:val="9"/>
    <w:unhideWhenUsed/>
    <w:qFormat/>
    <w:rsid w:val="00037B5C"/>
    <w:pPr>
      <w:keepNext/>
      <w:keepLines/>
      <w:spacing w:before="40" w:after="0"/>
      <w:outlineLvl w:val="3"/>
    </w:pPr>
    <w:rPr>
      <w:rFonts w:asciiTheme="majorHAnsi" w:eastAsiaTheme="majorEastAsia" w:hAnsiTheme="majorHAnsi" w:cstheme="majorBidi"/>
      <w:i/>
      <w:iCs/>
      <w:color w:val="C49A00" w:themeColor="accent1" w:themeShade="BF"/>
    </w:rPr>
  </w:style>
  <w:style w:type="paragraph" w:styleId="Ttulo5">
    <w:name w:val="heading 5"/>
    <w:basedOn w:val="Normal"/>
    <w:next w:val="Normal"/>
    <w:link w:val="Ttulo5Car"/>
    <w:uiPriority w:val="9"/>
    <w:semiHidden/>
    <w:unhideWhenUsed/>
    <w:qFormat/>
    <w:rsid w:val="00037B5C"/>
    <w:pPr>
      <w:keepNext/>
      <w:keepLines/>
      <w:spacing w:before="40" w:after="0"/>
      <w:outlineLvl w:val="4"/>
    </w:pPr>
    <w:rPr>
      <w:rFonts w:asciiTheme="majorHAnsi" w:eastAsiaTheme="majorEastAsia" w:hAnsiTheme="majorHAnsi" w:cstheme="majorBidi"/>
      <w:color w:val="C49A00" w:themeColor="accent1" w:themeShade="BF"/>
    </w:rPr>
  </w:style>
  <w:style w:type="paragraph" w:styleId="Ttulo6">
    <w:name w:val="heading 6"/>
    <w:basedOn w:val="Normal"/>
    <w:next w:val="Normal"/>
    <w:link w:val="Ttulo6Car"/>
    <w:uiPriority w:val="9"/>
    <w:semiHidden/>
    <w:unhideWhenUsed/>
    <w:qFormat/>
    <w:rsid w:val="00037B5C"/>
    <w:pPr>
      <w:keepNext/>
      <w:keepLines/>
      <w:spacing w:before="40" w:after="0"/>
      <w:outlineLvl w:val="5"/>
    </w:pPr>
    <w:rPr>
      <w:rFonts w:asciiTheme="majorHAnsi" w:eastAsiaTheme="majorEastAsia" w:hAnsiTheme="majorHAnsi" w:cstheme="majorBidi"/>
      <w:color w:val="826600" w:themeColor="accent1" w:themeShade="7F"/>
    </w:rPr>
  </w:style>
  <w:style w:type="paragraph" w:styleId="Ttulo7">
    <w:name w:val="heading 7"/>
    <w:basedOn w:val="Normal"/>
    <w:next w:val="Normal"/>
    <w:link w:val="Ttulo7Car"/>
    <w:uiPriority w:val="9"/>
    <w:semiHidden/>
    <w:unhideWhenUsed/>
    <w:qFormat/>
    <w:rsid w:val="00037B5C"/>
    <w:pPr>
      <w:keepNext/>
      <w:keepLines/>
      <w:spacing w:before="40" w:after="0"/>
      <w:outlineLvl w:val="6"/>
    </w:pPr>
    <w:rPr>
      <w:rFonts w:asciiTheme="majorHAnsi" w:eastAsiaTheme="majorEastAsia" w:hAnsiTheme="majorHAnsi" w:cstheme="majorBidi"/>
      <w:i/>
      <w:iCs/>
      <w:color w:val="826600" w:themeColor="accent1" w:themeShade="7F"/>
    </w:rPr>
  </w:style>
  <w:style w:type="paragraph" w:styleId="Ttulo8">
    <w:name w:val="heading 8"/>
    <w:basedOn w:val="Normal"/>
    <w:next w:val="Normal"/>
    <w:link w:val="Ttulo8Car"/>
    <w:uiPriority w:val="9"/>
    <w:semiHidden/>
    <w:unhideWhenUsed/>
    <w:qFormat/>
    <w:rsid w:val="00037B5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037B5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A5067"/>
    <w:pPr>
      <w:tabs>
        <w:tab w:val="center" w:pos="4252"/>
        <w:tab w:val="right" w:pos="8504"/>
      </w:tabs>
      <w:spacing w:before="0" w:after="0" w:line="240" w:lineRule="auto"/>
    </w:pPr>
  </w:style>
  <w:style w:type="character" w:customStyle="1" w:styleId="EncabezadoCar">
    <w:name w:val="Encabezado Car"/>
    <w:basedOn w:val="Fuentedeprrafopredeter"/>
    <w:link w:val="Encabezado"/>
    <w:uiPriority w:val="99"/>
    <w:rsid w:val="006A5067"/>
  </w:style>
  <w:style w:type="paragraph" w:styleId="Piedepgina">
    <w:name w:val="footer"/>
    <w:basedOn w:val="Normal"/>
    <w:link w:val="PiedepginaCar"/>
    <w:uiPriority w:val="99"/>
    <w:unhideWhenUsed/>
    <w:rsid w:val="006A5067"/>
    <w:pPr>
      <w:tabs>
        <w:tab w:val="center" w:pos="4252"/>
        <w:tab w:val="right" w:pos="8504"/>
      </w:tabs>
      <w:spacing w:before="0" w:after="0" w:line="240" w:lineRule="auto"/>
    </w:pPr>
  </w:style>
  <w:style w:type="character" w:customStyle="1" w:styleId="PiedepginaCar">
    <w:name w:val="Pie de página Car"/>
    <w:basedOn w:val="Fuentedeprrafopredeter"/>
    <w:link w:val="Piedepgina"/>
    <w:uiPriority w:val="99"/>
    <w:rsid w:val="006A5067"/>
  </w:style>
  <w:style w:type="paragraph" w:styleId="Sinespaciado">
    <w:name w:val="No Spacing"/>
    <w:link w:val="SinespaciadoCar"/>
    <w:uiPriority w:val="1"/>
    <w:qFormat/>
    <w:rsid w:val="00D825B8"/>
    <w:pPr>
      <w:spacing w:before="0" w:after="0" w:line="240" w:lineRule="auto"/>
      <w:jc w:val="left"/>
    </w:pPr>
    <w:rPr>
      <w:rFonts w:asciiTheme="minorHAnsi" w:eastAsiaTheme="minorEastAsia" w:hAnsiTheme="minorHAnsi"/>
      <w:sz w:val="22"/>
      <w:szCs w:val="22"/>
      <w:lang w:eastAsia="es-ES"/>
    </w:rPr>
  </w:style>
  <w:style w:type="character" w:customStyle="1" w:styleId="Ttulo1Car">
    <w:name w:val="Título 1 Car"/>
    <w:basedOn w:val="Fuentedeprrafopredeter"/>
    <w:link w:val="Ttulo1"/>
    <w:uiPriority w:val="9"/>
    <w:rsid w:val="00C57A20"/>
    <w:rPr>
      <w:rFonts w:ascii="GalanoGrotesque-Bold" w:eastAsiaTheme="majorEastAsia" w:hAnsi="GalanoGrotesque-Bold" w:cstheme="majorBidi"/>
      <w:color w:val="000000" w:themeColor="text1"/>
      <w:sz w:val="40"/>
      <w:szCs w:val="32"/>
    </w:rPr>
  </w:style>
  <w:style w:type="character" w:customStyle="1" w:styleId="Ttulo2Car">
    <w:name w:val="Título 2 Car"/>
    <w:basedOn w:val="Fuentedeprrafopredeter"/>
    <w:link w:val="Ttulo2"/>
    <w:uiPriority w:val="9"/>
    <w:rsid w:val="00C57A20"/>
    <w:rPr>
      <w:rFonts w:ascii="GalanoGrotesque-Bold" w:eastAsiaTheme="majorEastAsia" w:hAnsi="GalanoGrotesque-Bold" w:cstheme="majorBidi"/>
      <w:color w:val="000000" w:themeColor="text1"/>
      <w:sz w:val="32"/>
      <w:szCs w:val="26"/>
    </w:rPr>
  </w:style>
  <w:style w:type="character" w:customStyle="1" w:styleId="Ttulo3Car">
    <w:name w:val="Título 3 Car"/>
    <w:basedOn w:val="Fuentedeprrafopredeter"/>
    <w:link w:val="Ttulo3"/>
    <w:uiPriority w:val="9"/>
    <w:rsid w:val="00C57A20"/>
    <w:rPr>
      <w:rFonts w:ascii="GalanoGrotesque-Bold" w:eastAsiaTheme="majorEastAsia" w:hAnsi="GalanoGrotesque-Bold" w:cstheme="majorBidi"/>
      <w:sz w:val="28"/>
    </w:rPr>
  </w:style>
  <w:style w:type="character" w:customStyle="1" w:styleId="SinespaciadoCar">
    <w:name w:val="Sin espaciado Car"/>
    <w:basedOn w:val="Fuentedeprrafopredeter"/>
    <w:link w:val="Sinespaciado"/>
    <w:uiPriority w:val="1"/>
    <w:rsid w:val="00D825B8"/>
    <w:rPr>
      <w:rFonts w:asciiTheme="minorHAnsi" w:eastAsiaTheme="minorEastAsia" w:hAnsiTheme="minorHAnsi"/>
      <w:sz w:val="22"/>
      <w:szCs w:val="22"/>
      <w:lang w:eastAsia="es-ES"/>
    </w:rPr>
  </w:style>
  <w:style w:type="character" w:customStyle="1" w:styleId="Ttulo4Car">
    <w:name w:val="Título 4 Car"/>
    <w:basedOn w:val="Fuentedeprrafopredeter"/>
    <w:link w:val="Ttulo4"/>
    <w:uiPriority w:val="9"/>
    <w:rsid w:val="00037B5C"/>
    <w:rPr>
      <w:rFonts w:asciiTheme="majorHAnsi" w:eastAsiaTheme="majorEastAsia" w:hAnsiTheme="majorHAnsi" w:cstheme="majorBidi"/>
      <w:i/>
      <w:iCs/>
      <w:color w:val="C49A00" w:themeColor="accent1" w:themeShade="BF"/>
    </w:rPr>
  </w:style>
  <w:style w:type="character" w:customStyle="1" w:styleId="Ttulo5Car">
    <w:name w:val="Título 5 Car"/>
    <w:basedOn w:val="Fuentedeprrafopredeter"/>
    <w:link w:val="Ttulo5"/>
    <w:uiPriority w:val="9"/>
    <w:semiHidden/>
    <w:rsid w:val="00037B5C"/>
    <w:rPr>
      <w:rFonts w:asciiTheme="majorHAnsi" w:eastAsiaTheme="majorEastAsia" w:hAnsiTheme="majorHAnsi" w:cstheme="majorBidi"/>
      <w:color w:val="C49A00" w:themeColor="accent1" w:themeShade="BF"/>
    </w:rPr>
  </w:style>
  <w:style w:type="character" w:customStyle="1" w:styleId="Ttulo6Car">
    <w:name w:val="Título 6 Car"/>
    <w:basedOn w:val="Fuentedeprrafopredeter"/>
    <w:link w:val="Ttulo6"/>
    <w:uiPriority w:val="9"/>
    <w:semiHidden/>
    <w:rsid w:val="00037B5C"/>
    <w:rPr>
      <w:rFonts w:asciiTheme="majorHAnsi" w:eastAsiaTheme="majorEastAsia" w:hAnsiTheme="majorHAnsi" w:cstheme="majorBidi"/>
      <w:color w:val="826600" w:themeColor="accent1" w:themeShade="7F"/>
    </w:rPr>
  </w:style>
  <w:style w:type="character" w:customStyle="1" w:styleId="Ttulo7Car">
    <w:name w:val="Título 7 Car"/>
    <w:basedOn w:val="Fuentedeprrafopredeter"/>
    <w:link w:val="Ttulo7"/>
    <w:uiPriority w:val="9"/>
    <w:semiHidden/>
    <w:rsid w:val="00037B5C"/>
    <w:rPr>
      <w:rFonts w:asciiTheme="majorHAnsi" w:eastAsiaTheme="majorEastAsia" w:hAnsiTheme="majorHAnsi" w:cstheme="majorBidi"/>
      <w:i/>
      <w:iCs/>
      <w:color w:val="826600" w:themeColor="accent1" w:themeShade="7F"/>
    </w:rPr>
  </w:style>
  <w:style w:type="character" w:customStyle="1" w:styleId="Ttulo8Car">
    <w:name w:val="Título 8 Car"/>
    <w:basedOn w:val="Fuentedeprrafopredeter"/>
    <w:link w:val="Ttulo8"/>
    <w:uiPriority w:val="9"/>
    <w:semiHidden/>
    <w:rsid w:val="00037B5C"/>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037B5C"/>
    <w:rPr>
      <w:rFonts w:asciiTheme="majorHAnsi" w:eastAsiaTheme="majorEastAsia" w:hAnsiTheme="majorHAnsi" w:cstheme="majorBidi"/>
      <w:i/>
      <w:iCs/>
      <w:color w:val="272727" w:themeColor="text1" w:themeTint="D8"/>
      <w:sz w:val="21"/>
      <w:szCs w:val="21"/>
    </w:rPr>
  </w:style>
  <w:style w:type="numbering" w:customStyle="1" w:styleId="CtaPub">
    <w:name w:val="CtaPub"/>
    <w:uiPriority w:val="99"/>
    <w:rsid w:val="00037B5C"/>
    <w:pPr>
      <w:numPr>
        <w:numId w:val="1"/>
      </w:numPr>
    </w:pPr>
  </w:style>
  <w:style w:type="paragraph" w:styleId="TDC1">
    <w:name w:val="toc 1"/>
    <w:basedOn w:val="Normal"/>
    <w:next w:val="Normal"/>
    <w:autoRedefine/>
    <w:uiPriority w:val="39"/>
    <w:unhideWhenUsed/>
    <w:rsid w:val="001D0504"/>
    <w:pPr>
      <w:tabs>
        <w:tab w:val="left" w:pos="1560"/>
        <w:tab w:val="right" w:leader="dot" w:pos="9639"/>
      </w:tabs>
      <w:spacing w:before="120" w:after="120" w:line="240" w:lineRule="auto"/>
      <w:ind w:left="993"/>
      <w:jc w:val="left"/>
    </w:pPr>
    <w:rPr>
      <w:rFonts w:asciiTheme="minorHAnsi" w:hAnsiTheme="minorHAnsi"/>
      <w:noProof/>
      <w:sz w:val="20"/>
      <w:szCs w:val="20"/>
    </w:rPr>
  </w:style>
  <w:style w:type="paragraph" w:styleId="TDC2">
    <w:name w:val="toc 2"/>
    <w:basedOn w:val="Normal"/>
    <w:next w:val="Normal"/>
    <w:autoRedefine/>
    <w:uiPriority w:val="39"/>
    <w:unhideWhenUsed/>
    <w:rsid w:val="00D55DED"/>
    <w:pPr>
      <w:spacing w:before="0" w:after="0"/>
      <w:ind w:left="240"/>
      <w:jc w:val="left"/>
    </w:pPr>
    <w:rPr>
      <w:rFonts w:asciiTheme="minorHAnsi" w:hAnsiTheme="minorHAnsi"/>
      <w:smallCaps/>
      <w:sz w:val="20"/>
      <w:szCs w:val="20"/>
    </w:rPr>
  </w:style>
  <w:style w:type="paragraph" w:styleId="TDC3">
    <w:name w:val="toc 3"/>
    <w:basedOn w:val="Normal"/>
    <w:next w:val="Normal"/>
    <w:autoRedefine/>
    <w:uiPriority w:val="39"/>
    <w:unhideWhenUsed/>
    <w:rsid w:val="00D55DED"/>
    <w:pPr>
      <w:spacing w:before="0" w:after="0"/>
      <w:ind w:left="480"/>
      <w:jc w:val="left"/>
    </w:pPr>
    <w:rPr>
      <w:rFonts w:asciiTheme="minorHAnsi" w:hAnsiTheme="minorHAnsi"/>
      <w:i/>
      <w:iCs/>
      <w:sz w:val="20"/>
      <w:szCs w:val="20"/>
    </w:rPr>
  </w:style>
  <w:style w:type="paragraph" w:styleId="TDC4">
    <w:name w:val="toc 4"/>
    <w:basedOn w:val="Normal"/>
    <w:next w:val="Normal"/>
    <w:autoRedefine/>
    <w:uiPriority w:val="39"/>
    <w:unhideWhenUsed/>
    <w:rsid w:val="00D55DED"/>
    <w:pPr>
      <w:spacing w:before="0" w:after="0"/>
      <w:ind w:left="720"/>
      <w:jc w:val="left"/>
    </w:pPr>
    <w:rPr>
      <w:rFonts w:asciiTheme="minorHAnsi" w:hAnsiTheme="minorHAnsi"/>
      <w:sz w:val="18"/>
      <w:szCs w:val="18"/>
    </w:rPr>
  </w:style>
  <w:style w:type="paragraph" w:styleId="TDC5">
    <w:name w:val="toc 5"/>
    <w:basedOn w:val="Normal"/>
    <w:next w:val="Normal"/>
    <w:autoRedefine/>
    <w:uiPriority w:val="39"/>
    <w:unhideWhenUsed/>
    <w:rsid w:val="00D55DED"/>
    <w:pPr>
      <w:spacing w:before="0" w:after="0"/>
      <w:ind w:left="960"/>
      <w:jc w:val="left"/>
    </w:pPr>
    <w:rPr>
      <w:rFonts w:asciiTheme="minorHAnsi" w:hAnsiTheme="minorHAnsi"/>
      <w:sz w:val="18"/>
      <w:szCs w:val="18"/>
    </w:rPr>
  </w:style>
  <w:style w:type="paragraph" w:styleId="TDC6">
    <w:name w:val="toc 6"/>
    <w:basedOn w:val="Normal"/>
    <w:next w:val="Normal"/>
    <w:autoRedefine/>
    <w:uiPriority w:val="39"/>
    <w:unhideWhenUsed/>
    <w:rsid w:val="00D55DED"/>
    <w:pPr>
      <w:spacing w:before="0" w:after="0"/>
      <w:ind w:left="1200"/>
      <w:jc w:val="left"/>
    </w:pPr>
    <w:rPr>
      <w:rFonts w:asciiTheme="minorHAnsi" w:hAnsiTheme="minorHAnsi"/>
      <w:sz w:val="18"/>
      <w:szCs w:val="18"/>
    </w:rPr>
  </w:style>
  <w:style w:type="paragraph" w:styleId="TDC7">
    <w:name w:val="toc 7"/>
    <w:basedOn w:val="Normal"/>
    <w:next w:val="Normal"/>
    <w:autoRedefine/>
    <w:uiPriority w:val="39"/>
    <w:unhideWhenUsed/>
    <w:rsid w:val="00D55DED"/>
    <w:pPr>
      <w:spacing w:before="0" w:after="0"/>
      <w:ind w:left="1440"/>
      <w:jc w:val="left"/>
    </w:pPr>
    <w:rPr>
      <w:rFonts w:asciiTheme="minorHAnsi" w:hAnsiTheme="minorHAnsi"/>
      <w:sz w:val="18"/>
      <w:szCs w:val="18"/>
    </w:rPr>
  </w:style>
  <w:style w:type="paragraph" w:styleId="TDC8">
    <w:name w:val="toc 8"/>
    <w:basedOn w:val="Normal"/>
    <w:next w:val="Normal"/>
    <w:autoRedefine/>
    <w:uiPriority w:val="39"/>
    <w:unhideWhenUsed/>
    <w:rsid w:val="00D55DED"/>
    <w:pPr>
      <w:spacing w:before="0" w:after="0"/>
      <w:ind w:left="1680"/>
      <w:jc w:val="left"/>
    </w:pPr>
    <w:rPr>
      <w:rFonts w:asciiTheme="minorHAnsi" w:hAnsiTheme="minorHAnsi"/>
      <w:sz w:val="18"/>
      <w:szCs w:val="18"/>
    </w:rPr>
  </w:style>
  <w:style w:type="paragraph" w:styleId="TDC9">
    <w:name w:val="toc 9"/>
    <w:basedOn w:val="Normal"/>
    <w:next w:val="Normal"/>
    <w:autoRedefine/>
    <w:uiPriority w:val="39"/>
    <w:unhideWhenUsed/>
    <w:rsid w:val="00D55DED"/>
    <w:pPr>
      <w:spacing w:before="0" w:after="0"/>
      <w:ind w:left="1920"/>
      <w:jc w:val="left"/>
    </w:pPr>
    <w:rPr>
      <w:rFonts w:asciiTheme="minorHAnsi" w:hAnsiTheme="minorHAnsi"/>
      <w:sz w:val="18"/>
      <w:szCs w:val="18"/>
    </w:rPr>
  </w:style>
  <w:style w:type="character" w:styleId="Hipervnculo">
    <w:name w:val="Hyperlink"/>
    <w:basedOn w:val="Fuentedeprrafopredeter"/>
    <w:uiPriority w:val="99"/>
    <w:unhideWhenUsed/>
    <w:rsid w:val="00D55DED"/>
    <w:rPr>
      <w:color w:val="2998E3" w:themeColor="hyperlink"/>
      <w:u w:val="single"/>
    </w:rPr>
  </w:style>
  <w:style w:type="paragraph" w:styleId="Textodeglobo">
    <w:name w:val="Balloon Text"/>
    <w:basedOn w:val="Normal"/>
    <w:link w:val="TextodegloboCar"/>
    <w:uiPriority w:val="99"/>
    <w:semiHidden/>
    <w:unhideWhenUsed/>
    <w:rsid w:val="00A074C9"/>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74C9"/>
    <w:rPr>
      <w:rFonts w:ascii="Segoe UI" w:hAnsi="Segoe UI" w:cs="Segoe UI"/>
      <w:sz w:val="18"/>
      <w:szCs w:val="18"/>
    </w:rPr>
  </w:style>
  <w:style w:type="paragraph" w:styleId="TtulodeTDC">
    <w:name w:val="TOC Heading"/>
    <w:basedOn w:val="Ttulo1"/>
    <w:next w:val="Normal"/>
    <w:uiPriority w:val="39"/>
    <w:unhideWhenUsed/>
    <w:qFormat/>
    <w:rsid w:val="00FD13B8"/>
    <w:pPr>
      <w:spacing w:line="259" w:lineRule="auto"/>
      <w:jc w:val="left"/>
      <w:outlineLvl w:val="9"/>
    </w:pPr>
    <w:rPr>
      <w:rFonts w:asciiTheme="majorHAnsi" w:hAnsiTheme="majorHAnsi"/>
      <w:color w:val="C49A00" w:themeColor="accent1" w:themeShade="BF"/>
      <w:sz w:val="32"/>
      <w:lang w:eastAsia="es-ES"/>
    </w:rPr>
  </w:style>
  <w:style w:type="paragraph" w:styleId="Prrafodelista">
    <w:name w:val="List Paragraph"/>
    <w:basedOn w:val="Normal"/>
    <w:link w:val="PrrafodelistaCar"/>
    <w:uiPriority w:val="34"/>
    <w:qFormat/>
    <w:rsid w:val="00DC0CD8"/>
    <w:pPr>
      <w:widowControl w:val="0"/>
      <w:kinsoku w:val="0"/>
      <w:spacing w:before="0" w:after="0" w:line="240" w:lineRule="auto"/>
      <w:ind w:left="720"/>
      <w:contextualSpacing/>
      <w:jc w:val="left"/>
    </w:pPr>
    <w:rPr>
      <w:rFonts w:ascii="Times New Roman" w:eastAsia="Times New Roman" w:hAnsi="Times New Roman" w:cs="Times New Roman"/>
      <w:lang w:val="en-US" w:eastAsia="es-MX"/>
    </w:rPr>
  </w:style>
  <w:style w:type="table" w:styleId="Tablaconcuadrcula">
    <w:name w:val="Table Grid"/>
    <w:basedOn w:val="Tablanormal"/>
    <w:uiPriority w:val="39"/>
    <w:rsid w:val="00DC0274"/>
    <w:pPr>
      <w:spacing w:before="0" w:after="0" w:line="240" w:lineRule="auto"/>
      <w:jc w:val="left"/>
    </w:pPr>
    <w:rPr>
      <w:rFonts w:asciiTheme="minorHAnsi" w:hAnsi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qFormat/>
    <w:rsid w:val="00CD7FEF"/>
    <w:pPr>
      <w:widowControl w:val="0"/>
      <w:spacing w:before="0" w:after="0" w:line="240" w:lineRule="auto"/>
      <w:ind w:left="902"/>
      <w:jc w:val="left"/>
    </w:pPr>
    <w:rPr>
      <w:rFonts w:ascii="Arial" w:eastAsia="Arial" w:hAnsi="Arial"/>
      <w:noProof/>
      <w:sz w:val="20"/>
      <w:szCs w:val="20"/>
    </w:rPr>
  </w:style>
  <w:style w:type="character" w:customStyle="1" w:styleId="TextoindependienteCar">
    <w:name w:val="Texto independiente Car"/>
    <w:basedOn w:val="Fuentedeprrafopredeter"/>
    <w:link w:val="Textoindependiente"/>
    <w:uiPriority w:val="99"/>
    <w:rsid w:val="00CD7FEF"/>
    <w:rPr>
      <w:rFonts w:ascii="Arial" w:eastAsia="Arial" w:hAnsi="Arial"/>
      <w:noProof/>
      <w:sz w:val="20"/>
      <w:szCs w:val="20"/>
      <w:lang w:val="es-MX"/>
    </w:rPr>
  </w:style>
  <w:style w:type="character" w:styleId="Refdecomentario">
    <w:name w:val="annotation reference"/>
    <w:basedOn w:val="Fuentedeprrafopredeter"/>
    <w:uiPriority w:val="99"/>
    <w:semiHidden/>
    <w:unhideWhenUsed/>
    <w:rsid w:val="00211348"/>
    <w:rPr>
      <w:sz w:val="16"/>
      <w:szCs w:val="16"/>
    </w:rPr>
  </w:style>
  <w:style w:type="paragraph" w:styleId="Textocomentario">
    <w:name w:val="annotation text"/>
    <w:basedOn w:val="Normal"/>
    <w:link w:val="TextocomentarioCar"/>
    <w:uiPriority w:val="99"/>
    <w:unhideWhenUsed/>
    <w:rsid w:val="00211348"/>
    <w:pPr>
      <w:spacing w:line="240" w:lineRule="auto"/>
    </w:pPr>
    <w:rPr>
      <w:sz w:val="20"/>
      <w:szCs w:val="20"/>
    </w:rPr>
  </w:style>
  <w:style w:type="character" w:customStyle="1" w:styleId="TextocomentarioCar">
    <w:name w:val="Texto comentario Car"/>
    <w:basedOn w:val="Fuentedeprrafopredeter"/>
    <w:link w:val="Textocomentario"/>
    <w:uiPriority w:val="99"/>
    <w:rsid w:val="00211348"/>
    <w:rPr>
      <w:sz w:val="20"/>
      <w:szCs w:val="20"/>
    </w:rPr>
  </w:style>
  <w:style w:type="paragraph" w:styleId="Asuntodelcomentario">
    <w:name w:val="annotation subject"/>
    <w:basedOn w:val="Textocomentario"/>
    <w:next w:val="Textocomentario"/>
    <w:link w:val="AsuntodelcomentarioCar"/>
    <w:uiPriority w:val="99"/>
    <w:semiHidden/>
    <w:unhideWhenUsed/>
    <w:rsid w:val="00211348"/>
    <w:rPr>
      <w:b/>
      <w:bCs/>
    </w:rPr>
  </w:style>
  <w:style w:type="character" w:customStyle="1" w:styleId="AsuntodelcomentarioCar">
    <w:name w:val="Asunto del comentario Car"/>
    <w:basedOn w:val="TextocomentarioCar"/>
    <w:link w:val="Asuntodelcomentario"/>
    <w:uiPriority w:val="99"/>
    <w:semiHidden/>
    <w:rsid w:val="00211348"/>
    <w:rPr>
      <w:b/>
      <w:bCs/>
      <w:sz w:val="20"/>
      <w:szCs w:val="20"/>
    </w:rPr>
  </w:style>
  <w:style w:type="table" w:customStyle="1" w:styleId="TableNormal1">
    <w:name w:val="Table Normal1"/>
    <w:uiPriority w:val="2"/>
    <w:semiHidden/>
    <w:unhideWhenUsed/>
    <w:qFormat/>
    <w:rsid w:val="00836323"/>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36323"/>
    <w:pPr>
      <w:widowControl w:val="0"/>
      <w:spacing w:before="0" w:after="0" w:line="240" w:lineRule="auto"/>
      <w:jc w:val="left"/>
    </w:pPr>
    <w:rPr>
      <w:rFonts w:asciiTheme="minorHAnsi" w:hAnsiTheme="minorHAnsi"/>
      <w:noProof/>
      <w:sz w:val="22"/>
      <w:szCs w:val="22"/>
    </w:rPr>
  </w:style>
  <w:style w:type="numbering" w:customStyle="1" w:styleId="Estilo1">
    <w:name w:val="Estilo1"/>
    <w:uiPriority w:val="99"/>
    <w:rsid w:val="00836323"/>
    <w:pPr>
      <w:numPr>
        <w:numId w:val="4"/>
      </w:numPr>
    </w:pPr>
  </w:style>
  <w:style w:type="paragraph" w:styleId="Descripcin">
    <w:name w:val="caption"/>
    <w:basedOn w:val="Normal"/>
    <w:next w:val="Normal"/>
    <w:uiPriority w:val="35"/>
    <w:unhideWhenUsed/>
    <w:qFormat/>
    <w:rsid w:val="00836323"/>
    <w:pPr>
      <w:widowControl w:val="0"/>
      <w:spacing w:before="0" w:after="200" w:line="240" w:lineRule="auto"/>
      <w:jc w:val="left"/>
    </w:pPr>
    <w:rPr>
      <w:rFonts w:asciiTheme="minorHAnsi" w:hAnsiTheme="minorHAnsi"/>
      <w:i/>
      <w:iCs/>
      <w:noProof/>
      <w:color w:val="39302A" w:themeColor="text2"/>
      <w:sz w:val="18"/>
      <w:szCs w:val="18"/>
    </w:rPr>
  </w:style>
  <w:style w:type="paragraph" w:customStyle="1" w:styleId="Default">
    <w:name w:val="Default"/>
    <w:rsid w:val="00836323"/>
    <w:pPr>
      <w:autoSpaceDE w:val="0"/>
      <w:autoSpaceDN w:val="0"/>
      <w:adjustRightInd w:val="0"/>
      <w:spacing w:before="0" w:after="0" w:line="240" w:lineRule="auto"/>
      <w:jc w:val="left"/>
    </w:pPr>
    <w:rPr>
      <w:rFonts w:ascii="Arial" w:hAnsi="Arial" w:cs="Arial"/>
      <w:color w:val="000000"/>
      <w:lang w:val="es-MX"/>
    </w:rPr>
  </w:style>
  <w:style w:type="character" w:customStyle="1" w:styleId="apple-converted-space">
    <w:name w:val="apple-converted-space"/>
    <w:basedOn w:val="Fuentedeprrafopredeter"/>
    <w:rsid w:val="00836323"/>
  </w:style>
  <w:style w:type="paragraph" w:styleId="NormalWeb">
    <w:name w:val="Normal (Web)"/>
    <w:basedOn w:val="Normal"/>
    <w:uiPriority w:val="99"/>
    <w:unhideWhenUsed/>
    <w:rsid w:val="00836323"/>
    <w:pPr>
      <w:spacing w:before="0" w:after="225" w:line="240" w:lineRule="auto"/>
      <w:jc w:val="left"/>
    </w:pPr>
    <w:rPr>
      <w:rFonts w:ascii="Times New Roman" w:eastAsia="Times New Roman" w:hAnsi="Times New Roman" w:cs="Times New Roman"/>
      <w:lang w:eastAsia="es-MX"/>
    </w:rPr>
  </w:style>
  <w:style w:type="character" w:styleId="Hipervnculovisitado">
    <w:name w:val="FollowedHyperlink"/>
    <w:basedOn w:val="Fuentedeprrafopredeter"/>
    <w:uiPriority w:val="99"/>
    <w:semiHidden/>
    <w:unhideWhenUsed/>
    <w:rsid w:val="00836323"/>
    <w:rPr>
      <w:color w:val="800080"/>
      <w:u w:val="single"/>
    </w:rPr>
  </w:style>
  <w:style w:type="paragraph" w:customStyle="1" w:styleId="xl65">
    <w:name w:val="xl65"/>
    <w:basedOn w:val="Normal"/>
    <w:rsid w:val="00836323"/>
    <w:pPr>
      <w:spacing w:before="100" w:beforeAutospacing="1" w:after="100" w:afterAutospacing="1" w:line="240" w:lineRule="auto"/>
      <w:jc w:val="left"/>
    </w:pPr>
    <w:rPr>
      <w:rFonts w:ascii="Arial" w:eastAsia="Times New Roman" w:hAnsi="Arial" w:cs="Arial"/>
      <w:lang w:eastAsia="es-MX"/>
    </w:rPr>
  </w:style>
  <w:style w:type="paragraph" w:customStyle="1" w:styleId="xl66">
    <w:name w:val="xl66"/>
    <w:basedOn w:val="Normal"/>
    <w:rsid w:val="00836323"/>
    <w:pPr>
      <w:pBdr>
        <w:top w:val="single" w:sz="4" w:space="0" w:color="D9D9D9"/>
        <w:left w:val="single" w:sz="4" w:space="0" w:color="D9D9D9"/>
        <w:bottom w:val="single" w:sz="4" w:space="0" w:color="D9D9D9"/>
        <w:right w:val="single" w:sz="4" w:space="0" w:color="D9D9D9"/>
      </w:pBdr>
      <w:shd w:val="clear" w:color="000000" w:fill="D9D9D9"/>
      <w:spacing w:before="100" w:beforeAutospacing="1" w:after="100" w:afterAutospacing="1" w:line="240" w:lineRule="auto"/>
      <w:jc w:val="center"/>
      <w:textAlignment w:val="center"/>
    </w:pPr>
    <w:rPr>
      <w:rFonts w:ascii="Arial" w:eastAsia="Times New Roman" w:hAnsi="Arial" w:cs="Arial"/>
      <w:color w:val="000000"/>
      <w:lang w:eastAsia="es-MX"/>
    </w:rPr>
  </w:style>
  <w:style w:type="paragraph" w:customStyle="1" w:styleId="xl67">
    <w:name w:val="xl67"/>
    <w:basedOn w:val="Normal"/>
    <w:rsid w:val="00836323"/>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jc w:val="left"/>
      <w:textAlignment w:val="center"/>
    </w:pPr>
    <w:rPr>
      <w:rFonts w:ascii="Arial" w:eastAsia="Times New Roman" w:hAnsi="Arial" w:cs="Arial"/>
      <w:color w:val="000000"/>
      <w:lang w:eastAsia="es-MX"/>
    </w:rPr>
  </w:style>
  <w:style w:type="paragraph" w:styleId="Sangra2detindependiente">
    <w:name w:val="Body Text Indent 2"/>
    <w:basedOn w:val="Normal"/>
    <w:link w:val="Sangra2detindependienteCar"/>
    <w:uiPriority w:val="99"/>
    <w:semiHidden/>
    <w:unhideWhenUsed/>
    <w:rsid w:val="00836323"/>
    <w:pPr>
      <w:widowControl w:val="0"/>
      <w:spacing w:before="0" w:after="120" w:line="480" w:lineRule="auto"/>
      <w:ind w:left="283"/>
      <w:jc w:val="left"/>
    </w:pPr>
    <w:rPr>
      <w:rFonts w:asciiTheme="minorHAnsi" w:hAnsiTheme="minorHAnsi"/>
      <w:noProof/>
      <w:sz w:val="22"/>
      <w:szCs w:val="22"/>
    </w:rPr>
  </w:style>
  <w:style w:type="character" w:customStyle="1" w:styleId="Sangra2detindependienteCar">
    <w:name w:val="Sangría 2 de t. independiente Car"/>
    <w:basedOn w:val="Fuentedeprrafopredeter"/>
    <w:link w:val="Sangra2detindependiente"/>
    <w:uiPriority w:val="99"/>
    <w:semiHidden/>
    <w:rsid w:val="00836323"/>
    <w:rPr>
      <w:rFonts w:asciiTheme="minorHAnsi" w:hAnsiTheme="minorHAnsi"/>
      <w:noProof/>
      <w:sz w:val="22"/>
      <w:szCs w:val="22"/>
      <w:lang w:val="es-MX"/>
    </w:rPr>
  </w:style>
  <w:style w:type="paragraph" w:customStyle="1" w:styleId="Texto">
    <w:name w:val="Texto"/>
    <w:basedOn w:val="Normal"/>
    <w:link w:val="TextoCar"/>
    <w:qFormat/>
    <w:rsid w:val="00836323"/>
    <w:pPr>
      <w:spacing w:before="0" w:after="101" w:line="216" w:lineRule="exact"/>
      <w:ind w:firstLine="288"/>
    </w:pPr>
    <w:rPr>
      <w:rFonts w:ascii="Arial" w:eastAsia="Times New Roman" w:hAnsi="Arial" w:cs="Arial"/>
      <w:sz w:val="18"/>
      <w:szCs w:val="20"/>
      <w:lang w:eastAsia="es-ES"/>
    </w:rPr>
  </w:style>
  <w:style w:type="character" w:customStyle="1" w:styleId="TextoCar">
    <w:name w:val="Texto Car"/>
    <w:link w:val="Texto"/>
    <w:locked/>
    <w:rsid w:val="00836323"/>
    <w:rPr>
      <w:rFonts w:ascii="Arial" w:eastAsia="Times New Roman" w:hAnsi="Arial" w:cs="Arial"/>
      <w:sz w:val="18"/>
      <w:szCs w:val="20"/>
      <w:lang w:eastAsia="es-ES"/>
    </w:rPr>
  </w:style>
  <w:style w:type="paragraph" w:customStyle="1" w:styleId="INCISO">
    <w:name w:val="INCISO"/>
    <w:basedOn w:val="Normal"/>
    <w:rsid w:val="00C33836"/>
    <w:pPr>
      <w:spacing w:before="0" w:after="101" w:line="216" w:lineRule="exact"/>
      <w:ind w:left="1080" w:hanging="360"/>
    </w:pPr>
    <w:rPr>
      <w:rFonts w:ascii="Arial" w:eastAsia="Times New Roman" w:hAnsi="Arial" w:cs="Arial"/>
      <w:sz w:val="18"/>
      <w:szCs w:val="18"/>
      <w:lang w:eastAsia="es-ES"/>
    </w:rPr>
  </w:style>
  <w:style w:type="table" w:customStyle="1" w:styleId="Tablaconcuadrcula1">
    <w:name w:val="Tabla con cuadrícula1"/>
    <w:basedOn w:val="Tablanormal"/>
    <w:next w:val="Tablaconcuadrcula"/>
    <w:uiPriority w:val="39"/>
    <w:rsid w:val="00E84FA5"/>
    <w:pPr>
      <w:spacing w:before="0" w:after="0" w:line="240" w:lineRule="auto"/>
      <w:jc w:val="left"/>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943B0A"/>
    <w:pPr>
      <w:spacing w:before="0" w:after="0" w:line="240" w:lineRule="auto"/>
      <w:jc w:val="left"/>
    </w:pPr>
    <w:rPr>
      <w:rFonts w:asciiTheme="minorHAnsi" w:hAnsi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uiPriority w:val="2"/>
    <w:semiHidden/>
    <w:unhideWhenUsed/>
    <w:qFormat/>
    <w:rsid w:val="00943B0A"/>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table" w:customStyle="1" w:styleId="Tablaconcuadrcula11">
    <w:name w:val="Tabla con cuadrícula11"/>
    <w:basedOn w:val="Tablanormal"/>
    <w:next w:val="Tablaconcuadrcula"/>
    <w:uiPriority w:val="39"/>
    <w:rsid w:val="00943B0A"/>
    <w:pPr>
      <w:spacing w:before="0" w:after="0" w:line="240" w:lineRule="auto"/>
      <w:jc w:val="left"/>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DE412C"/>
    <w:pPr>
      <w:spacing w:before="0" w:after="0" w:line="240" w:lineRule="auto"/>
      <w:jc w:val="left"/>
    </w:pPr>
    <w:rPr>
      <w:rFonts w:asciiTheme="minorHAnsi" w:hAnsi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DE412C"/>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table" w:customStyle="1" w:styleId="Tablaconcuadrcula12">
    <w:name w:val="Tabla con cuadrícula12"/>
    <w:basedOn w:val="Tablanormal"/>
    <w:next w:val="Tablaconcuadrcula"/>
    <w:uiPriority w:val="39"/>
    <w:rsid w:val="00DE412C"/>
    <w:pPr>
      <w:spacing w:before="0" w:after="0" w:line="240" w:lineRule="auto"/>
      <w:jc w:val="left"/>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5656C6"/>
    <w:pPr>
      <w:spacing w:before="0" w:after="0" w:line="240" w:lineRule="auto"/>
      <w:jc w:val="left"/>
    </w:pPr>
    <w:rPr>
      <w:rFonts w:ascii="Cambria" w:eastAsia="MS Mincho" w:hAnsi="Cambria" w:cs="Times New Roman"/>
      <w:sz w:val="20"/>
      <w:szCs w:val="20"/>
      <w:lang w:val="es-ES_tradnl" w:eastAsia="es-ES"/>
    </w:rPr>
  </w:style>
  <w:style w:type="character" w:customStyle="1" w:styleId="TextonotapieCar">
    <w:name w:val="Texto nota pie Car"/>
    <w:basedOn w:val="Fuentedeprrafopredeter"/>
    <w:link w:val="Textonotapie"/>
    <w:uiPriority w:val="99"/>
    <w:semiHidden/>
    <w:rsid w:val="005656C6"/>
    <w:rPr>
      <w:rFonts w:ascii="Cambria" w:eastAsia="MS Mincho" w:hAnsi="Cambria" w:cs="Times New Roman"/>
      <w:sz w:val="20"/>
      <w:szCs w:val="20"/>
      <w:lang w:val="es-ES_tradnl" w:eastAsia="es-ES"/>
    </w:rPr>
  </w:style>
  <w:style w:type="character" w:styleId="Refdenotaalpie">
    <w:name w:val="footnote reference"/>
    <w:basedOn w:val="Fuentedeprrafopredeter"/>
    <w:uiPriority w:val="99"/>
    <w:semiHidden/>
    <w:unhideWhenUsed/>
    <w:rsid w:val="005656C6"/>
    <w:rPr>
      <w:vertAlign w:val="superscript"/>
    </w:rPr>
  </w:style>
  <w:style w:type="paragraph" w:styleId="Textoindependiente3">
    <w:name w:val="Body Text 3"/>
    <w:basedOn w:val="Normal"/>
    <w:link w:val="Textoindependiente3Car"/>
    <w:rsid w:val="00380B21"/>
    <w:pPr>
      <w:spacing w:before="0" w:after="0" w:line="240" w:lineRule="auto"/>
      <w:jc w:val="left"/>
    </w:pPr>
    <w:rPr>
      <w:rFonts w:ascii="Arial" w:eastAsia="Times New Roman" w:hAnsi="Arial" w:cs="Times New Roman"/>
      <w:i/>
      <w:sz w:val="28"/>
      <w:szCs w:val="20"/>
      <w:lang w:eastAsia="es-ES"/>
    </w:rPr>
  </w:style>
  <w:style w:type="character" w:customStyle="1" w:styleId="Textoindependiente3Car">
    <w:name w:val="Texto independiente 3 Car"/>
    <w:basedOn w:val="Fuentedeprrafopredeter"/>
    <w:link w:val="Textoindependiente3"/>
    <w:rsid w:val="00380B21"/>
    <w:rPr>
      <w:rFonts w:ascii="Arial" w:eastAsia="Times New Roman" w:hAnsi="Arial" w:cs="Times New Roman"/>
      <w:i/>
      <w:sz w:val="28"/>
      <w:szCs w:val="20"/>
      <w:lang w:eastAsia="es-ES"/>
    </w:rPr>
  </w:style>
  <w:style w:type="paragraph" w:customStyle="1" w:styleId="Estndar">
    <w:name w:val="Estándar"/>
    <w:basedOn w:val="Normal"/>
    <w:link w:val="EstndarCar"/>
    <w:rsid w:val="00856C0F"/>
    <w:pPr>
      <w:spacing w:before="0" w:after="0" w:line="240" w:lineRule="auto"/>
      <w:jc w:val="left"/>
    </w:pPr>
    <w:rPr>
      <w:rFonts w:ascii="TimesNewRomanPS" w:eastAsia="Times New Roman" w:hAnsi="TimesNewRomanPS" w:cs="Times New Roman"/>
      <w:noProof/>
      <w:sz w:val="20"/>
      <w:szCs w:val="20"/>
      <w:lang w:eastAsia="es-ES"/>
    </w:rPr>
  </w:style>
  <w:style w:type="character" w:customStyle="1" w:styleId="EstndarCar">
    <w:name w:val="Estándar Car"/>
    <w:basedOn w:val="Fuentedeprrafopredeter"/>
    <w:link w:val="Estndar"/>
    <w:rsid w:val="00856C0F"/>
    <w:rPr>
      <w:rFonts w:ascii="TimesNewRomanPS" w:eastAsia="Times New Roman" w:hAnsi="TimesNewRomanPS" w:cs="Times New Roman"/>
      <w:noProof/>
      <w:sz w:val="20"/>
      <w:szCs w:val="20"/>
      <w:lang w:eastAsia="es-ES"/>
    </w:rPr>
  </w:style>
  <w:style w:type="character" w:styleId="Nmerodepgina">
    <w:name w:val="page number"/>
    <w:basedOn w:val="Fuentedeprrafopredeter"/>
    <w:rsid w:val="00856C0F"/>
  </w:style>
  <w:style w:type="table" w:customStyle="1" w:styleId="TableGrid">
    <w:name w:val="TableGrid"/>
    <w:rsid w:val="009C7546"/>
    <w:pPr>
      <w:spacing w:before="0" w:after="0" w:line="240" w:lineRule="auto"/>
      <w:jc w:val="left"/>
    </w:pPr>
    <w:rPr>
      <w:rFonts w:asciiTheme="minorHAnsi" w:eastAsiaTheme="minorEastAsia" w:hAnsiTheme="minorHAnsi"/>
      <w:sz w:val="22"/>
      <w:szCs w:val="22"/>
      <w:lang w:val="es-MX" w:eastAsia="es-MX"/>
    </w:rPr>
    <w:tblPr>
      <w:tblCellMar>
        <w:top w:w="0" w:type="dxa"/>
        <w:left w:w="0" w:type="dxa"/>
        <w:bottom w:w="0" w:type="dxa"/>
        <w:right w:w="0" w:type="dxa"/>
      </w:tblCellMar>
    </w:tblPr>
  </w:style>
  <w:style w:type="paragraph" w:styleId="Textoindependienteprimerasangra">
    <w:name w:val="Body Text First Indent"/>
    <w:basedOn w:val="Textoindependiente"/>
    <w:link w:val="TextoindependienteprimerasangraCar"/>
    <w:uiPriority w:val="99"/>
    <w:unhideWhenUsed/>
    <w:rsid w:val="00410BEA"/>
    <w:pPr>
      <w:widowControl/>
      <w:spacing w:before="60" w:after="60" w:line="360" w:lineRule="auto"/>
      <w:ind w:left="0" w:firstLine="360"/>
      <w:jc w:val="both"/>
    </w:pPr>
    <w:rPr>
      <w:rFonts w:ascii="GalanoGrotesque-Light" w:eastAsiaTheme="minorHAnsi" w:hAnsi="GalanoGrotesque-Light"/>
      <w:noProof w:val="0"/>
      <w:sz w:val="24"/>
      <w:szCs w:val="24"/>
    </w:rPr>
  </w:style>
  <w:style w:type="character" w:customStyle="1" w:styleId="TextoindependienteprimerasangraCar">
    <w:name w:val="Texto independiente primera sangría Car"/>
    <w:basedOn w:val="TextoindependienteCar"/>
    <w:link w:val="Textoindependienteprimerasangra"/>
    <w:uiPriority w:val="99"/>
    <w:rsid w:val="00410BEA"/>
    <w:rPr>
      <w:rFonts w:ascii="Arial" w:eastAsia="Arial" w:hAnsi="Arial"/>
      <w:noProof/>
      <w:sz w:val="20"/>
      <w:szCs w:val="20"/>
      <w:lang w:val="es-MX"/>
    </w:rPr>
  </w:style>
  <w:style w:type="paragraph" w:styleId="Revisin">
    <w:name w:val="Revision"/>
    <w:hidden/>
    <w:uiPriority w:val="99"/>
    <w:semiHidden/>
    <w:rsid w:val="00F40607"/>
    <w:pPr>
      <w:spacing w:before="0" w:after="0" w:line="240" w:lineRule="auto"/>
      <w:jc w:val="left"/>
    </w:pPr>
    <w:rPr>
      <w:lang w:val="es-MX"/>
    </w:rPr>
  </w:style>
  <w:style w:type="character" w:customStyle="1" w:styleId="Mencinsinresolver1">
    <w:name w:val="Mención sin resolver1"/>
    <w:basedOn w:val="Fuentedeprrafopredeter"/>
    <w:uiPriority w:val="99"/>
    <w:semiHidden/>
    <w:unhideWhenUsed/>
    <w:rsid w:val="00E556A5"/>
    <w:rPr>
      <w:color w:val="605E5C"/>
      <w:shd w:val="clear" w:color="auto" w:fill="E1DFDD"/>
    </w:rPr>
  </w:style>
  <w:style w:type="paragraph" w:customStyle="1" w:styleId="ANOTACION">
    <w:name w:val="ANOTACION"/>
    <w:basedOn w:val="Normal"/>
    <w:link w:val="ANOTACIONCar"/>
    <w:rsid w:val="00EB30D5"/>
    <w:pPr>
      <w:spacing w:before="101" w:after="101" w:line="216" w:lineRule="atLeast"/>
      <w:jc w:val="center"/>
    </w:pPr>
    <w:rPr>
      <w:rFonts w:ascii="Times New Roman" w:eastAsia="Times New Roman" w:hAnsi="Times New Roman" w:cs="Times New Roman"/>
      <w:b/>
      <w:sz w:val="18"/>
      <w:szCs w:val="20"/>
      <w:lang w:val="es-ES_tradnl" w:eastAsia="es-ES"/>
    </w:rPr>
  </w:style>
  <w:style w:type="character" w:customStyle="1" w:styleId="ANOTACIONCar">
    <w:name w:val="ANOTACION Car"/>
    <w:link w:val="ANOTACION"/>
    <w:locked/>
    <w:rsid w:val="00EB30D5"/>
    <w:rPr>
      <w:rFonts w:ascii="Times New Roman" w:eastAsia="Times New Roman" w:hAnsi="Times New Roman" w:cs="Times New Roman"/>
      <w:b/>
      <w:sz w:val="18"/>
      <w:szCs w:val="20"/>
      <w:lang w:val="es-ES_tradnl" w:eastAsia="es-ES"/>
    </w:rPr>
  </w:style>
  <w:style w:type="numbering" w:customStyle="1" w:styleId="Sinlista1">
    <w:name w:val="Sin lista1"/>
    <w:next w:val="Sinlista"/>
    <w:uiPriority w:val="99"/>
    <w:semiHidden/>
    <w:unhideWhenUsed/>
    <w:rsid w:val="006A2374"/>
  </w:style>
  <w:style w:type="numbering" w:customStyle="1" w:styleId="Sinlista2">
    <w:name w:val="Sin lista2"/>
    <w:next w:val="Sinlista"/>
    <w:uiPriority w:val="99"/>
    <w:semiHidden/>
    <w:unhideWhenUsed/>
    <w:rsid w:val="006A2374"/>
  </w:style>
  <w:style w:type="character" w:customStyle="1" w:styleId="PrrafodelistaCar">
    <w:name w:val="Párrafo de lista Car"/>
    <w:link w:val="Prrafodelista"/>
    <w:uiPriority w:val="34"/>
    <w:locked/>
    <w:rsid w:val="007A2820"/>
    <w:rPr>
      <w:rFonts w:ascii="Times New Roman" w:eastAsia="Times New Roman" w:hAnsi="Times New Roman" w:cs="Times New Roman"/>
      <w:lang w:val="en-U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29784">
      <w:bodyDiv w:val="1"/>
      <w:marLeft w:val="0"/>
      <w:marRight w:val="0"/>
      <w:marTop w:val="0"/>
      <w:marBottom w:val="0"/>
      <w:divBdr>
        <w:top w:val="none" w:sz="0" w:space="0" w:color="auto"/>
        <w:left w:val="none" w:sz="0" w:space="0" w:color="auto"/>
        <w:bottom w:val="none" w:sz="0" w:space="0" w:color="auto"/>
        <w:right w:val="none" w:sz="0" w:space="0" w:color="auto"/>
      </w:divBdr>
    </w:div>
    <w:div w:id="47271325">
      <w:bodyDiv w:val="1"/>
      <w:marLeft w:val="0"/>
      <w:marRight w:val="0"/>
      <w:marTop w:val="0"/>
      <w:marBottom w:val="0"/>
      <w:divBdr>
        <w:top w:val="none" w:sz="0" w:space="0" w:color="auto"/>
        <w:left w:val="none" w:sz="0" w:space="0" w:color="auto"/>
        <w:bottom w:val="none" w:sz="0" w:space="0" w:color="auto"/>
        <w:right w:val="none" w:sz="0" w:space="0" w:color="auto"/>
      </w:divBdr>
    </w:div>
    <w:div w:id="48648974">
      <w:bodyDiv w:val="1"/>
      <w:marLeft w:val="0"/>
      <w:marRight w:val="0"/>
      <w:marTop w:val="0"/>
      <w:marBottom w:val="0"/>
      <w:divBdr>
        <w:top w:val="none" w:sz="0" w:space="0" w:color="auto"/>
        <w:left w:val="none" w:sz="0" w:space="0" w:color="auto"/>
        <w:bottom w:val="none" w:sz="0" w:space="0" w:color="auto"/>
        <w:right w:val="none" w:sz="0" w:space="0" w:color="auto"/>
      </w:divBdr>
    </w:div>
    <w:div w:id="49960362">
      <w:bodyDiv w:val="1"/>
      <w:marLeft w:val="0"/>
      <w:marRight w:val="0"/>
      <w:marTop w:val="0"/>
      <w:marBottom w:val="0"/>
      <w:divBdr>
        <w:top w:val="none" w:sz="0" w:space="0" w:color="auto"/>
        <w:left w:val="none" w:sz="0" w:space="0" w:color="auto"/>
        <w:bottom w:val="none" w:sz="0" w:space="0" w:color="auto"/>
        <w:right w:val="none" w:sz="0" w:space="0" w:color="auto"/>
      </w:divBdr>
    </w:div>
    <w:div w:id="57292574">
      <w:bodyDiv w:val="1"/>
      <w:marLeft w:val="0"/>
      <w:marRight w:val="0"/>
      <w:marTop w:val="0"/>
      <w:marBottom w:val="0"/>
      <w:divBdr>
        <w:top w:val="none" w:sz="0" w:space="0" w:color="auto"/>
        <w:left w:val="none" w:sz="0" w:space="0" w:color="auto"/>
        <w:bottom w:val="none" w:sz="0" w:space="0" w:color="auto"/>
        <w:right w:val="none" w:sz="0" w:space="0" w:color="auto"/>
      </w:divBdr>
    </w:div>
    <w:div w:id="74669832">
      <w:bodyDiv w:val="1"/>
      <w:marLeft w:val="0"/>
      <w:marRight w:val="0"/>
      <w:marTop w:val="0"/>
      <w:marBottom w:val="0"/>
      <w:divBdr>
        <w:top w:val="none" w:sz="0" w:space="0" w:color="auto"/>
        <w:left w:val="none" w:sz="0" w:space="0" w:color="auto"/>
        <w:bottom w:val="none" w:sz="0" w:space="0" w:color="auto"/>
        <w:right w:val="none" w:sz="0" w:space="0" w:color="auto"/>
      </w:divBdr>
    </w:div>
    <w:div w:id="85032082">
      <w:bodyDiv w:val="1"/>
      <w:marLeft w:val="0"/>
      <w:marRight w:val="0"/>
      <w:marTop w:val="0"/>
      <w:marBottom w:val="0"/>
      <w:divBdr>
        <w:top w:val="none" w:sz="0" w:space="0" w:color="auto"/>
        <w:left w:val="none" w:sz="0" w:space="0" w:color="auto"/>
        <w:bottom w:val="none" w:sz="0" w:space="0" w:color="auto"/>
        <w:right w:val="none" w:sz="0" w:space="0" w:color="auto"/>
      </w:divBdr>
    </w:div>
    <w:div w:id="93599657">
      <w:bodyDiv w:val="1"/>
      <w:marLeft w:val="0"/>
      <w:marRight w:val="0"/>
      <w:marTop w:val="0"/>
      <w:marBottom w:val="0"/>
      <w:divBdr>
        <w:top w:val="none" w:sz="0" w:space="0" w:color="auto"/>
        <w:left w:val="none" w:sz="0" w:space="0" w:color="auto"/>
        <w:bottom w:val="none" w:sz="0" w:space="0" w:color="auto"/>
        <w:right w:val="none" w:sz="0" w:space="0" w:color="auto"/>
      </w:divBdr>
    </w:div>
    <w:div w:id="97650425">
      <w:bodyDiv w:val="1"/>
      <w:marLeft w:val="0"/>
      <w:marRight w:val="0"/>
      <w:marTop w:val="0"/>
      <w:marBottom w:val="0"/>
      <w:divBdr>
        <w:top w:val="none" w:sz="0" w:space="0" w:color="auto"/>
        <w:left w:val="none" w:sz="0" w:space="0" w:color="auto"/>
        <w:bottom w:val="none" w:sz="0" w:space="0" w:color="auto"/>
        <w:right w:val="none" w:sz="0" w:space="0" w:color="auto"/>
      </w:divBdr>
    </w:div>
    <w:div w:id="102457116">
      <w:bodyDiv w:val="1"/>
      <w:marLeft w:val="0"/>
      <w:marRight w:val="0"/>
      <w:marTop w:val="0"/>
      <w:marBottom w:val="0"/>
      <w:divBdr>
        <w:top w:val="none" w:sz="0" w:space="0" w:color="auto"/>
        <w:left w:val="none" w:sz="0" w:space="0" w:color="auto"/>
        <w:bottom w:val="none" w:sz="0" w:space="0" w:color="auto"/>
        <w:right w:val="none" w:sz="0" w:space="0" w:color="auto"/>
      </w:divBdr>
    </w:div>
    <w:div w:id="107746788">
      <w:bodyDiv w:val="1"/>
      <w:marLeft w:val="0"/>
      <w:marRight w:val="0"/>
      <w:marTop w:val="0"/>
      <w:marBottom w:val="0"/>
      <w:divBdr>
        <w:top w:val="none" w:sz="0" w:space="0" w:color="auto"/>
        <w:left w:val="none" w:sz="0" w:space="0" w:color="auto"/>
        <w:bottom w:val="none" w:sz="0" w:space="0" w:color="auto"/>
        <w:right w:val="none" w:sz="0" w:space="0" w:color="auto"/>
      </w:divBdr>
    </w:div>
    <w:div w:id="111247131">
      <w:bodyDiv w:val="1"/>
      <w:marLeft w:val="0"/>
      <w:marRight w:val="0"/>
      <w:marTop w:val="0"/>
      <w:marBottom w:val="0"/>
      <w:divBdr>
        <w:top w:val="none" w:sz="0" w:space="0" w:color="auto"/>
        <w:left w:val="none" w:sz="0" w:space="0" w:color="auto"/>
        <w:bottom w:val="none" w:sz="0" w:space="0" w:color="auto"/>
        <w:right w:val="none" w:sz="0" w:space="0" w:color="auto"/>
      </w:divBdr>
    </w:div>
    <w:div w:id="144469479">
      <w:bodyDiv w:val="1"/>
      <w:marLeft w:val="0"/>
      <w:marRight w:val="0"/>
      <w:marTop w:val="0"/>
      <w:marBottom w:val="0"/>
      <w:divBdr>
        <w:top w:val="none" w:sz="0" w:space="0" w:color="auto"/>
        <w:left w:val="none" w:sz="0" w:space="0" w:color="auto"/>
        <w:bottom w:val="none" w:sz="0" w:space="0" w:color="auto"/>
        <w:right w:val="none" w:sz="0" w:space="0" w:color="auto"/>
      </w:divBdr>
    </w:div>
    <w:div w:id="166210859">
      <w:bodyDiv w:val="1"/>
      <w:marLeft w:val="0"/>
      <w:marRight w:val="0"/>
      <w:marTop w:val="0"/>
      <w:marBottom w:val="0"/>
      <w:divBdr>
        <w:top w:val="none" w:sz="0" w:space="0" w:color="auto"/>
        <w:left w:val="none" w:sz="0" w:space="0" w:color="auto"/>
        <w:bottom w:val="none" w:sz="0" w:space="0" w:color="auto"/>
        <w:right w:val="none" w:sz="0" w:space="0" w:color="auto"/>
      </w:divBdr>
    </w:div>
    <w:div w:id="184025104">
      <w:bodyDiv w:val="1"/>
      <w:marLeft w:val="0"/>
      <w:marRight w:val="0"/>
      <w:marTop w:val="0"/>
      <w:marBottom w:val="0"/>
      <w:divBdr>
        <w:top w:val="none" w:sz="0" w:space="0" w:color="auto"/>
        <w:left w:val="none" w:sz="0" w:space="0" w:color="auto"/>
        <w:bottom w:val="none" w:sz="0" w:space="0" w:color="auto"/>
        <w:right w:val="none" w:sz="0" w:space="0" w:color="auto"/>
      </w:divBdr>
    </w:div>
    <w:div w:id="189337494">
      <w:bodyDiv w:val="1"/>
      <w:marLeft w:val="0"/>
      <w:marRight w:val="0"/>
      <w:marTop w:val="0"/>
      <w:marBottom w:val="0"/>
      <w:divBdr>
        <w:top w:val="none" w:sz="0" w:space="0" w:color="auto"/>
        <w:left w:val="none" w:sz="0" w:space="0" w:color="auto"/>
        <w:bottom w:val="none" w:sz="0" w:space="0" w:color="auto"/>
        <w:right w:val="none" w:sz="0" w:space="0" w:color="auto"/>
      </w:divBdr>
    </w:div>
    <w:div w:id="192041323">
      <w:bodyDiv w:val="1"/>
      <w:marLeft w:val="0"/>
      <w:marRight w:val="0"/>
      <w:marTop w:val="0"/>
      <w:marBottom w:val="0"/>
      <w:divBdr>
        <w:top w:val="none" w:sz="0" w:space="0" w:color="auto"/>
        <w:left w:val="none" w:sz="0" w:space="0" w:color="auto"/>
        <w:bottom w:val="none" w:sz="0" w:space="0" w:color="auto"/>
        <w:right w:val="none" w:sz="0" w:space="0" w:color="auto"/>
      </w:divBdr>
    </w:div>
    <w:div w:id="200172019">
      <w:bodyDiv w:val="1"/>
      <w:marLeft w:val="0"/>
      <w:marRight w:val="0"/>
      <w:marTop w:val="0"/>
      <w:marBottom w:val="0"/>
      <w:divBdr>
        <w:top w:val="none" w:sz="0" w:space="0" w:color="auto"/>
        <w:left w:val="none" w:sz="0" w:space="0" w:color="auto"/>
        <w:bottom w:val="none" w:sz="0" w:space="0" w:color="auto"/>
        <w:right w:val="none" w:sz="0" w:space="0" w:color="auto"/>
      </w:divBdr>
    </w:div>
    <w:div w:id="206065168">
      <w:bodyDiv w:val="1"/>
      <w:marLeft w:val="0"/>
      <w:marRight w:val="0"/>
      <w:marTop w:val="0"/>
      <w:marBottom w:val="0"/>
      <w:divBdr>
        <w:top w:val="none" w:sz="0" w:space="0" w:color="auto"/>
        <w:left w:val="none" w:sz="0" w:space="0" w:color="auto"/>
        <w:bottom w:val="none" w:sz="0" w:space="0" w:color="auto"/>
        <w:right w:val="none" w:sz="0" w:space="0" w:color="auto"/>
      </w:divBdr>
    </w:div>
    <w:div w:id="208150574">
      <w:bodyDiv w:val="1"/>
      <w:marLeft w:val="0"/>
      <w:marRight w:val="0"/>
      <w:marTop w:val="0"/>
      <w:marBottom w:val="0"/>
      <w:divBdr>
        <w:top w:val="none" w:sz="0" w:space="0" w:color="auto"/>
        <w:left w:val="none" w:sz="0" w:space="0" w:color="auto"/>
        <w:bottom w:val="none" w:sz="0" w:space="0" w:color="auto"/>
        <w:right w:val="none" w:sz="0" w:space="0" w:color="auto"/>
      </w:divBdr>
    </w:div>
    <w:div w:id="212618709">
      <w:bodyDiv w:val="1"/>
      <w:marLeft w:val="0"/>
      <w:marRight w:val="0"/>
      <w:marTop w:val="0"/>
      <w:marBottom w:val="0"/>
      <w:divBdr>
        <w:top w:val="none" w:sz="0" w:space="0" w:color="auto"/>
        <w:left w:val="none" w:sz="0" w:space="0" w:color="auto"/>
        <w:bottom w:val="none" w:sz="0" w:space="0" w:color="auto"/>
        <w:right w:val="none" w:sz="0" w:space="0" w:color="auto"/>
      </w:divBdr>
    </w:div>
    <w:div w:id="218250858">
      <w:bodyDiv w:val="1"/>
      <w:marLeft w:val="0"/>
      <w:marRight w:val="0"/>
      <w:marTop w:val="0"/>
      <w:marBottom w:val="0"/>
      <w:divBdr>
        <w:top w:val="none" w:sz="0" w:space="0" w:color="auto"/>
        <w:left w:val="none" w:sz="0" w:space="0" w:color="auto"/>
        <w:bottom w:val="none" w:sz="0" w:space="0" w:color="auto"/>
        <w:right w:val="none" w:sz="0" w:space="0" w:color="auto"/>
      </w:divBdr>
    </w:div>
    <w:div w:id="227154041">
      <w:bodyDiv w:val="1"/>
      <w:marLeft w:val="0"/>
      <w:marRight w:val="0"/>
      <w:marTop w:val="0"/>
      <w:marBottom w:val="0"/>
      <w:divBdr>
        <w:top w:val="none" w:sz="0" w:space="0" w:color="auto"/>
        <w:left w:val="none" w:sz="0" w:space="0" w:color="auto"/>
        <w:bottom w:val="none" w:sz="0" w:space="0" w:color="auto"/>
        <w:right w:val="none" w:sz="0" w:space="0" w:color="auto"/>
      </w:divBdr>
    </w:div>
    <w:div w:id="227501458">
      <w:bodyDiv w:val="1"/>
      <w:marLeft w:val="0"/>
      <w:marRight w:val="0"/>
      <w:marTop w:val="0"/>
      <w:marBottom w:val="0"/>
      <w:divBdr>
        <w:top w:val="none" w:sz="0" w:space="0" w:color="auto"/>
        <w:left w:val="none" w:sz="0" w:space="0" w:color="auto"/>
        <w:bottom w:val="none" w:sz="0" w:space="0" w:color="auto"/>
        <w:right w:val="none" w:sz="0" w:space="0" w:color="auto"/>
      </w:divBdr>
    </w:div>
    <w:div w:id="228268757">
      <w:bodyDiv w:val="1"/>
      <w:marLeft w:val="0"/>
      <w:marRight w:val="0"/>
      <w:marTop w:val="0"/>
      <w:marBottom w:val="0"/>
      <w:divBdr>
        <w:top w:val="none" w:sz="0" w:space="0" w:color="auto"/>
        <w:left w:val="none" w:sz="0" w:space="0" w:color="auto"/>
        <w:bottom w:val="none" w:sz="0" w:space="0" w:color="auto"/>
        <w:right w:val="none" w:sz="0" w:space="0" w:color="auto"/>
      </w:divBdr>
    </w:div>
    <w:div w:id="228687726">
      <w:bodyDiv w:val="1"/>
      <w:marLeft w:val="0"/>
      <w:marRight w:val="0"/>
      <w:marTop w:val="0"/>
      <w:marBottom w:val="0"/>
      <w:divBdr>
        <w:top w:val="none" w:sz="0" w:space="0" w:color="auto"/>
        <w:left w:val="none" w:sz="0" w:space="0" w:color="auto"/>
        <w:bottom w:val="none" w:sz="0" w:space="0" w:color="auto"/>
        <w:right w:val="none" w:sz="0" w:space="0" w:color="auto"/>
      </w:divBdr>
    </w:div>
    <w:div w:id="231889952">
      <w:bodyDiv w:val="1"/>
      <w:marLeft w:val="0"/>
      <w:marRight w:val="0"/>
      <w:marTop w:val="0"/>
      <w:marBottom w:val="0"/>
      <w:divBdr>
        <w:top w:val="none" w:sz="0" w:space="0" w:color="auto"/>
        <w:left w:val="none" w:sz="0" w:space="0" w:color="auto"/>
        <w:bottom w:val="none" w:sz="0" w:space="0" w:color="auto"/>
        <w:right w:val="none" w:sz="0" w:space="0" w:color="auto"/>
      </w:divBdr>
    </w:div>
    <w:div w:id="233011502">
      <w:bodyDiv w:val="1"/>
      <w:marLeft w:val="0"/>
      <w:marRight w:val="0"/>
      <w:marTop w:val="0"/>
      <w:marBottom w:val="0"/>
      <w:divBdr>
        <w:top w:val="none" w:sz="0" w:space="0" w:color="auto"/>
        <w:left w:val="none" w:sz="0" w:space="0" w:color="auto"/>
        <w:bottom w:val="none" w:sz="0" w:space="0" w:color="auto"/>
        <w:right w:val="none" w:sz="0" w:space="0" w:color="auto"/>
      </w:divBdr>
    </w:div>
    <w:div w:id="240528233">
      <w:bodyDiv w:val="1"/>
      <w:marLeft w:val="0"/>
      <w:marRight w:val="0"/>
      <w:marTop w:val="0"/>
      <w:marBottom w:val="0"/>
      <w:divBdr>
        <w:top w:val="none" w:sz="0" w:space="0" w:color="auto"/>
        <w:left w:val="none" w:sz="0" w:space="0" w:color="auto"/>
        <w:bottom w:val="none" w:sz="0" w:space="0" w:color="auto"/>
        <w:right w:val="none" w:sz="0" w:space="0" w:color="auto"/>
      </w:divBdr>
    </w:div>
    <w:div w:id="249507905">
      <w:bodyDiv w:val="1"/>
      <w:marLeft w:val="0"/>
      <w:marRight w:val="0"/>
      <w:marTop w:val="0"/>
      <w:marBottom w:val="0"/>
      <w:divBdr>
        <w:top w:val="none" w:sz="0" w:space="0" w:color="auto"/>
        <w:left w:val="none" w:sz="0" w:space="0" w:color="auto"/>
        <w:bottom w:val="none" w:sz="0" w:space="0" w:color="auto"/>
        <w:right w:val="none" w:sz="0" w:space="0" w:color="auto"/>
      </w:divBdr>
    </w:div>
    <w:div w:id="254095098">
      <w:bodyDiv w:val="1"/>
      <w:marLeft w:val="0"/>
      <w:marRight w:val="0"/>
      <w:marTop w:val="0"/>
      <w:marBottom w:val="0"/>
      <w:divBdr>
        <w:top w:val="none" w:sz="0" w:space="0" w:color="auto"/>
        <w:left w:val="none" w:sz="0" w:space="0" w:color="auto"/>
        <w:bottom w:val="none" w:sz="0" w:space="0" w:color="auto"/>
        <w:right w:val="none" w:sz="0" w:space="0" w:color="auto"/>
      </w:divBdr>
    </w:div>
    <w:div w:id="254557631">
      <w:bodyDiv w:val="1"/>
      <w:marLeft w:val="0"/>
      <w:marRight w:val="0"/>
      <w:marTop w:val="0"/>
      <w:marBottom w:val="0"/>
      <w:divBdr>
        <w:top w:val="none" w:sz="0" w:space="0" w:color="auto"/>
        <w:left w:val="none" w:sz="0" w:space="0" w:color="auto"/>
        <w:bottom w:val="none" w:sz="0" w:space="0" w:color="auto"/>
        <w:right w:val="none" w:sz="0" w:space="0" w:color="auto"/>
      </w:divBdr>
    </w:div>
    <w:div w:id="264575419">
      <w:bodyDiv w:val="1"/>
      <w:marLeft w:val="0"/>
      <w:marRight w:val="0"/>
      <w:marTop w:val="0"/>
      <w:marBottom w:val="0"/>
      <w:divBdr>
        <w:top w:val="none" w:sz="0" w:space="0" w:color="auto"/>
        <w:left w:val="none" w:sz="0" w:space="0" w:color="auto"/>
        <w:bottom w:val="none" w:sz="0" w:space="0" w:color="auto"/>
        <w:right w:val="none" w:sz="0" w:space="0" w:color="auto"/>
      </w:divBdr>
    </w:div>
    <w:div w:id="266541147">
      <w:bodyDiv w:val="1"/>
      <w:marLeft w:val="0"/>
      <w:marRight w:val="0"/>
      <w:marTop w:val="0"/>
      <w:marBottom w:val="0"/>
      <w:divBdr>
        <w:top w:val="none" w:sz="0" w:space="0" w:color="auto"/>
        <w:left w:val="none" w:sz="0" w:space="0" w:color="auto"/>
        <w:bottom w:val="none" w:sz="0" w:space="0" w:color="auto"/>
        <w:right w:val="none" w:sz="0" w:space="0" w:color="auto"/>
      </w:divBdr>
    </w:div>
    <w:div w:id="271674115">
      <w:bodyDiv w:val="1"/>
      <w:marLeft w:val="0"/>
      <w:marRight w:val="0"/>
      <w:marTop w:val="0"/>
      <w:marBottom w:val="0"/>
      <w:divBdr>
        <w:top w:val="none" w:sz="0" w:space="0" w:color="auto"/>
        <w:left w:val="none" w:sz="0" w:space="0" w:color="auto"/>
        <w:bottom w:val="none" w:sz="0" w:space="0" w:color="auto"/>
        <w:right w:val="none" w:sz="0" w:space="0" w:color="auto"/>
      </w:divBdr>
    </w:div>
    <w:div w:id="282078309">
      <w:bodyDiv w:val="1"/>
      <w:marLeft w:val="0"/>
      <w:marRight w:val="0"/>
      <w:marTop w:val="0"/>
      <w:marBottom w:val="0"/>
      <w:divBdr>
        <w:top w:val="none" w:sz="0" w:space="0" w:color="auto"/>
        <w:left w:val="none" w:sz="0" w:space="0" w:color="auto"/>
        <w:bottom w:val="none" w:sz="0" w:space="0" w:color="auto"/>
        <w:right w:val="none" w:sz="0" w:space="0" w:color="auto"/>
      </w:divBdr>
    </w:div>
    <w:div w:id="308487392">
      <w:bodyDiv w:val="1"/>
      <w:marLeft w:val="0"/>
      <w:marRight w:val="0"/>
      <w:marTop w:val="0"/>
      <w:marBottom w:val="0"/>
      <w:divBdr>
        <w:top w:val="none" w:sz="0" w:space="0" w:color="auto"/>
        <w:left w:val="none" w:sz="0" w:space="0" w:color="auto"/>
        <w:bottom w:val="none" w:sz="0" w:space="0" w:color="auto"/>
        <w:right w:val="none" w:sz="0" w:space="0" w:color="auto"/>
      </w:divBdr>
    </w:div>
    <w:div w:id="311712684">
      <w:bodyDiv w:val="1"/>
      <w:marLeft w:val="0"/>
      <w:marRight w:val="0"/>
      <w:marTop w:val="0"/>
      <w:marBottom w:val="0"/>
      <w:divBdr>
        <w:top w:val="none" w:sz="0" w:space="0" w:color="auto"/>
        <w:left w:val="none" w:sz="0" w:space="0" w:color="auto"/>
        <w:bottom w:val="none" w:sz="0" w:space="0" w:color="auto"/>
        <w:right w:val="none" w:sz="0" w:space="0" w:color="auto"/>
      </w:divBdr>
    </w:div>
    <w:div w:id="318387700">
      <w:bodyDiv w:val="1"/>
      <w:marLeft w:val="0"/>
      <w:marRight w:val="0"/>
      <w:marTop w:val="0"/>
      <w:marBottom w:val="0"/>
      <w:divBdr>
        <w:top w:val="none" w:sz="0" w:space="0" w:color="auto"/>
        <w:left w:val="none" w:sz="0" w:space="0" w:color="auto"/>
        <w:bottom w:val="none" w:sz="0" w:space="0" w:color="auto"/>
        <w:right w:val="none" w:sz="0" w:space="0" w:color="auto"/>
      </w:divBdr>
    </w:div>
    <w:div w:id="319893779">
      <w:bodyDiv w:val="1"/>
      <w:marLeft w:val="0"/>
      <w:marRight w:val="0"/>
      <w:marTop w:val="0"/>
      <w:marBottom w:val="0"/>
      <w:divBdr>
        <w:top w:val="none" w:sz="0" w:space="0" w:color="auto"/>
        <w:left w:val="none" w:sz="0" w:space="0" w:color="auto"/>
        <w:bottom w:val="none" w:sz="0" w:space="0" w:color="auto"/>
        <w:right w:val="none" w:sz="0" w:space="0" w:color="auto"/>
      </w:divBdr>
    </w:div>
    <w:div w:id="330640842">
      <w:bodyDiv w:val="1"/>
      <w:marLeft w:val="0"/>
      <w:marRight w:val="0"/>
      <w:marTop w:val="0"/>
      <w:marBottom w:val="0"/>
      <w:divBdr>
        <w:top w:val="none" w:sz="0" w:space="0" w:color="auto"/>
        <w:left w:val="none" w:sz="0" w:space="0" w:color="auto"/>
        <w:bottom w:val="none" w:sz="0" w:space="0" w:color="auto"/>
        <w:right w:val="none" w:sz="0" w:space="0" w:color="auto"/>
      </w:divBdr>
    </w:div>
    <w:div w:id="330836309">
      <w:bodyDiv w:val="1"/>
      <w:marLeft w:val="0"/>
      <w:marRight w:val="0"/>
      <w:marTop w:val="0"/>
      <w:marBottom w:val="0"/>
      <w:divBdr>
        <w:top w:val="none" w:sz="0" w:space="0" w:color="auto"/>
        <w:left w:val="none" w:sz="0" w:space="0" w:color="auto"/>
        <w:bottom w:val="none" w:sz="0" w:space="0" w:color="auto"/>
        <w:right w:val="none" w:sz="0" w:space="0" w:color="auto"/>
      </w:divBdr>
    </w:div>
    <w:div w:id="331834934">
      <w:bodyDiv w:val="1"/>
      <w:marLeft w:val="0"/>
      <w:marRight w:val="0"/>
      <w:marTop w:val="0"/>
      <w:marBottom w:val="0"/>
      <w:divBdr>
        <w:top w:val="none" w:sz="0" w:space="0" w:color="auto"/>
        <w:left w:val="none" w:sz="0" w:space="0" w:color="auto"/>
        <w:bottom w:val="none" w:sz="0" w:space="0" w:color="auto"/>
        <w:right w:val="none" w:sz="0" w:space="0" w:color="auto"/>
      </w:divBdr>
    </w:div>
    <w:div w:id="334307326">
      <w:bodyDiv w:val="1"/>
      <w:marLeft w:val="0"/>
      <w:marRight w:val="0"/>
      <w:marTop w:val="0"/>
      <w:marBottom w:val="0"/>
      <w:divBdr>
        <w:top w:val="none" w:sz="0" w:space="0" w:color="auto"/>
        <w:left w:val="none" w:sz="0" w:space="0" w:color="auto"/>
        <w:bottom w:val="none" w:sz="0" w:space="0" w:color="auto"/>
        <w:right w:val="none" w:sz="0" w:space="0" w:color="auto"/>
      </w:divBdr>
    </w:div>
    <w:div w:id="340276362">
      <w:bodyDiv w:val="1"/>
      <w:marLeft w:val="0"/>
      <w:marRight w:val="0"/>
      <w:marTop w:val="0"/>
      <w:marBottom w:val="0"/>
      <w:divBdr>
        <w:top w:val="none" w:sz="0" w:space="0" w:color="auto"/>
        <w:left w:val="none" w:sz="0" w:space="0" w:color="auto"/>
        <w:bottom w:val="none" w:sz="0" w:space="0" w:color="auto"/>
        <w:right w:val="none" w:sz="0" w:space="0" w:color="auto"/>
      </w:divBdr>
    </w:div>
    <w:div w:id="343018095">
      <w:bodyDiv w:val="1"/>
      <w:marLeft w:val="0"/>
      <w:marRight w:val="0"/>
      <w:marTop w:val="0"/>
      <w:marBottom w:val="0"/>
      <w:divBdr>
        <w:top w:val="none" w:sz="0" w:space="0" w:color="auto"/>
        <w:left w:val="none" w:sz="0" w:space="0" w:color="auto"/>
        <w:bottom w:val="none" w:sz="0" w:space="0" w:color="auto"/>
        <w:right w:val="none" w:sz="0" w:space="0" w:color="auto"/>
      </w:divBdr>
    </w:div>
    <w:div w:id="355540766">
      <w:bodyDiv w:val="1"/>
      <w:marLeft w:val="0"/>
      <w:marRight w:val="0"/>
      <w:marTop w:val="0"/>
      <w:marBottom w:val="0"/>
      <w:divBdr>
        <w:top w:val="none" w:sz="0" w:space="0" w:color="auto"/>
        <w:left w:val="none" w:sz="0" w:space="0" w:color="auto"/>
        <w:bottom w:val="none" w:sz="0" w:space="0" w:color="auto"/>
        <w:right w:val="none" w:sz="0" w:space="0" w:color="auto"/>
      </w:divBdr>
    </w:div>
    <w:div w:id="367948139">
      <w:bodyDiv w:val="1"/>
      <w:marLeft w:val="0"/>
      <w:marRight w:val="0"/>
      <w:marTop w:val="0"/>
      <w:marBottom w:val="0"/>
      <w:divBdr>
        <w:top w:val="none" w:sz="0" w:space="0" w:color="auto"/>
        <w:left w:val="none" w:sz="0" w:space="0" w:color="auto"/>
        <w:bottom w:val="none" w:sz="0" w:space="0" w:color="auto"/>
        <w:right w:val="none" w:sz="0" w:space="0" w:color="auto"/>
      </w:divBdr>
    </w:div>
    <w:div w:id="372341998">
      <w:bodyDiv w:val="1"/>
      <w:marLeft w:val="0"/>
      <w:marRight w:val="0"/>
      <w:marTop w:val="0"/>
      <w:marBottom w:val="0"/>
      <w:divBdr>
        <w:top w:val="none" w:sz="0" w:space="0" w:color="auto"/>
        <w:left w:val="none" w:sz="0" w:space="0" w:color="auto"/>
        <w:bottom w:val="none" w:sz="0" w:space="0" w:color="auto"/>
        <w:right w:val="none" w:sz="0" w:space="0" w:color="auto"/>
      </w:divBdr>
    </w:div>
    <w:div w:id="376710946">
      <w:bodyDiv w:val="1"/>
      <w:marLeft w:val="0"/>
      <w:marRight w:val="0"/>
      <w:marTop w:val="0"/>
      <w:marBottom w:val="0"/>
      <w:divBdr>
        <w:top w:val="none" w:sz="0" w:space="0" w:color="auto"/>
        <w:left w:val="none" w:sz="0" w:space="0" w:color="auto"/>
        <w:bottom w:val="none" w:sz="0" w:space="0" w:color="auto"/>
        <w:right w:val="none" w:sz="0" w:space="0" w:color="auto"/>
      </w:divBdr>
    </w:div>
    <w:div w:id="377554779">
      <w:bodyDiv w:val="1"/>
      <w:marLeft w:val="0"/>
      <w:marRight w:val="0"/>
      <w:marTop w:val="0"/>
      <w:marBottom w:val="0"/>
      <w:divBdr>
        <w:top w:val="none" w:sz="0" w:space="0" w:color="auto"/>
        <w:left w:val="none" w:sz="0" w:space="0" w:color="auto"/>
        <w:bottom w:val="none" w:sz="0" w:space="0" w:color="auto"/>
        <w:right w:val="none" w:sz="0" w:space="0" w:color="auto"/>
      </w:divBdr>
    </w:div>
    <w:div w:id="395666416">
      <w:bodyDiv w:val="1"/>
      <w:marLeft w:val="0"/>
      <w:marRight w:val="0"/>
      <w:marTop w:val="0"/>
      <w:marBottom w:val="0"/>
      <w:divBdr>
        <w:top w:val="none" w:sz="0" w:space="0" w:color="auto"/>
        <w:left w:val="none" w:sz="0" w:space="0" w:color="auto"/>
        <w:bottom w:val="none" w:sz="0" w:space="0" w:color="auto"/>
        <w:right w:val="none" w:sz="0" w:space="0" w:color="auto"/>
      </w:divBdr>
    </w:div>
    <w:div w:id="405372809">
      <w:bodyDiv w:val="1"/>
      <w:marLeft w:val="0"/>
      <w:marRight w:val="0"/>
      <w:marTop w:val="0"/>
      <w:marBottom w:val="0"/>
      <w:divBdr>
        <w:top w:val="none" w:sz="0" w:space="0" w:color="auto"/>
        <w:left w:val="none" w:sz="0" w:space="0" w:color="auto"/>
        <w:bottom w:val="none" w:sz="0" w:space="0" w:color="auto"/>
        <w:right w:val="none" w:sz="0" w:space="0" w:color="auto"/>
      </w:divBdr>
    </w:div>
    <w:div w:id="407338773">
      <w:bodyDiv w:val="1"/>
      <w:marLeft w:val="0"/>
      <w:marRight w:val="0"/>
      <w:marTop w:val="0"/>
      <w:marBottom w:val="0"/>
      <w:divBdr>
        <w:top w:val="none" w:sz="0" w:space="0" w:color="auto"/>
        <w:left w:val="none" w:sz="0" w:space="0" w:color="auto"/>
        <w:bottom w:val="none" w:sz="0" w:space="0" w:color="auto"/>
        <w:right w:val="none" w:sz="0" w:space="0" w:color="auto"/>
      </w:divBdr>
    </w:div>
    <w:div w:id="425465556">
      <w:bodyDiv w:val="1"/>
      <w:marLeft w:val="0"/>
      <w:marRight w:val="0"/>
      <w:marTop w:val="0"/>
      <w:marBottom w:val="0"/>
      <w:divBdr>
        <w:top w:val="none" w:sz="0" w:space="0" w:color="auto"/>
        <w:left w:val="none" w:sz="0" w:space="0" w:color="auto"/>
        <w:bottom w:val="none" w:sz="0" w:space="0" w:color="auto"/>
        <w:right w:val="none" w:sz="0" w:space="0" w:color="auto"/>
      </w:divBdr>
    </w:div>
    <w:div w:id="433016550">
      <w:bodyDiv w:val="1"/>
      <w:marLeft w:val="0"/>
      <w:marRight w:val="0"/>
      <w:marTop w:val="0"/>
      <w:marBottom w:val="0"/>
      <w:divBdr>
        <w:top w:val="none" w:sz="0" w:space="0" w:color="auto"/>
        <w:left w:val="none" w:sz="0" w:space="0" w:color="auto"/>
        <w:bottom w:val="none" w:sz="0" w:space="0" w:color="auto"/>
        <w:right w:val="none" w:sz="0" w:space="0" w:color="auto"/>
      </w:divBdr>
    </w:div>
    <w:div w:id="449325383">
      <w:bodyDiv w:val="1"/>
      <w:marLeft w:val="0"/>
      <w:marRight w:val="0"/>
      <w:marTop w:val="0"/>
      <w:marBottom w:val="0"/>
      <w:divBdr>
        <w:top w:val="none" w:sz="0" w:space="0" w:color="auto"/>
        <w:left w:val="none" w:sz="0" w:space="0" w:color="auto"/>
        <w:bottom w:val="none" w:sz="0" w:space="0" w:color="auto"/>
        <w:right w:val="none" w:sz="0" w:space="0" w:color="auto"/>
      </w:divBdr>
    </w:div>
    <w:div w:id="452989717">
      <w:bodyDiv w:val="1"/>
      <w:marLeft w:val="0"/>
      <w:marRight w:val="0"/>
      <w:marTop w:val="0"/>
      <w:marBottom w:val="0"/>
      <w:divBdr>
        <w:top w:val="none" w:sz="0" w:space="0" w:color="auto"/>
        <w:left w:val="none" w:sz="0" w:space="0" w:color="auto"/>
        <w:bottom w:val="none" w:sz="0" w:space="0" w:color="auto"/>
        <w:right w:val="none" w:sz="0" w:space="0" w:color="auto"/>
      </w:divBdr>
    </w:div>
    <w:div w:id="458956884">
      <w:bodyDiv w:val="1"/>
      <w:marLeft w:val="0"/>
      <w:marRight w:val="0"/>
      <w:marTop w:val="0"/>
      <w:marBottom w:val="0"/>
      <w:divBdr>
        <w:top w:val="none" w:sz="0" w:space="0" w:color="auto"/>
        <w:left w:val="none" w:sz="0" w:space="0" w:color="auto"/>
        <w:bottom w:val="none" w:sz="0" w:space="0" w:color="auto"/>
        <w:right w:val="none" w:sz="0" w:space="0" w:color="auto"/>
      </w:divBdr>
    </w:div>
    <w:div w:id="465204802">
      <w:bodyDiv w:val="1"/>
      <w:marLeft w:val="0"/>
      <w:marRight w:val="0"/>
      <w:marTop w:val="0"/>
      <w:marBottom w:val="0"/>
      <w:divBdr>
        <w:top w:val="none" w:sz="0" w:space="0" w:color="auto"/>
        <w:left w:val="none" w:sz="0" w:space="0" w:color="auto"/>
        <w:bottom w:val="none" w:sz="0" w:space="0" w:color="auto"/>
        <w:right w:val="none" w:sz="0" w:space="0" w:color="auto"/>
      </w:divBdr>
    </w:div>
    <w:div w:id="469900659">
      <w:bodyDiv w:val="1"/>
      <w:marLeft w:val="0"/>
      <w:marRight w:val="0"/>
      <w:marTop w:val="0"/>
      <w:marBottom w:val="0"/>
      <w:divBdr>
        <w:top w:val="none" w:sz="0" w:space="0" w:color="auto"/>
        <w:left w:val="none" w:sz="0" w:space="0" w:color="auto"/>
        <w:bottom w:val="none" w:sz="0" w:space="0" w:color="auto"/>
        <w:right w:val="none" w:sz="0" w:space="0" w:color="auto"/>
      </w:divBdr>
    </w:div>
    <w:div w:id="489563526">
      <w:bodyDiv w:val="1"/>
      <w:marLeft w:val="0"/>
      <w:marRight w:val="0"/>
      <w:marTop w:val="0"/>
      <w:marBottom w:val="0"/>
      <w:divBdr>
        <w:top w:val="none" w:sz="0" w:space="0" w:color="auto"/>
        <w:left w:val="none" w:sz="0" w:space="0" w:color="auto"/>
        <w:bottom w:val="none" w:sz="0" w:space="0" w:color="auto"/>
        <w:right w:val="none" w:sz="0" w:space="0" w:color="auto"/>
      </w:divBdr>
    </w:div>
    <w:div w:id="495078109">
      <w:bodyDiv w:val="1"/>
      <w:marLeft w:val="0"/>
      <w:marRight w:val="0"/>
      <w:marTop w:val="0"/>
      <w:marBottom w:val="0"/>
      <w:divBdr>
        <w:top w:val="none" w:sz="0" w:space="0" w:color="auto"/>
        <w:left w:val="none" w:sz="0" w:space="0" w:color="auto"/>
        <w:bottom w:val="none" w:sz="0" w:space="0" w:color="auto"/>
        <w:right w:val="none" w:sz="0" w:space="0" w:color="auto"/>
      </w:divBdr>
    </w:div>
    <w:div w:id="507257808">
      <w:bodyDiv w:val="1"/>
      <w:marLeft w:val="0"/>
      <w:marRight w:val="0"/>
      <w:marTop w:val="0"/>
      <w:marBottom w:val="0"/>
      <w:divBdr>
        <w:top w:val="none" w:sz="0" w:space="0" w:color="auto"/>
        <w:left w:val="none" w:sz="0" w:space="0" w:color="auto"/>
        <w:bottom w:val="none" w:sz="0" w:space="0" w:color="auto"/>
        <w:right w:val="none" w:sz="0" w:space="0" w:color="auto"/>
      </w:divBdr>
    </w:div>
    <w:div w:id="513422265">
      <w:bodyDiv w:val="1"/>
      <w:marLeft w:val="0"/>
      <w:marRight w:val="0"/>
      <w:marTop w:val="0"/>
      <w:marBottom w:val="0"/>
      <w:divBdr>
        <w:top w:val="none" w:sz="0" w:space="0" w:color="auto"/>
        <w:left w:val="none" w:sz="0" w:space="0" w:color="auto"/>
        <w:bottom w:val="none" w:sz="0" w:space="0" w:color="auto"/>
        <w:right w:val="none" w:sz="0" w:space="0" w:color="auto"/>
      </w:divBdr>
    </w:div>
    <w:div w:id="522667221">
      <w:bodyDiv w:val="1"/>
      <w:marLeft w:val="0"/>
      <w:marRight w:val="0"/>
      <w:marTop w:val="0"/>
      <w:marBottom w:val="0"/>
      <w:divBdr>
        <w:top w:val="none" w:sz="0" w:space="0" w:color="auto"/>
        <w:left w:val="none" w:sz="0" w:space="0" w:color="auto"/>
        <w:bottom w:val="none" w:sz="0" w:space="0" w:color="auto"/>
        <w:right w:val="none" w:sz="0" w:space="0" w:color="auto"/>
      </w:divBdr>
      <w:divsChild>
        <w:div w:id="606502651">
          <w:marLeft w:val="360"/>
          <w:marRight w:val="0"/>
          <w:marTop w:val="200"/>
          <w:marBottom w:val="0"/>
          <w:divBdr>
            <w:top w:val="none" w:sz="0" w:space="0" w:color="auto"/>
            <w:left w:val="none" w:sz="0" w:space="0" w:color="auto"/>
            <w:bottom w:val="none" w:sz="0" w:space="0" w:color="auto"/>
            <w:right w:val="none" w:sz="0" w:space="0" w:color="auto"/>
          </w:divBdr>
        </w:div>
      </w:divsChild>
    </w:div>
    <w:div w:id="522790111">
      <w:bodyDiv w:val="1"/>
      <w:marLeft w:val="0"/>
      <w:marRight w:val="0"/>
      <w:marTop w:val="0"/>
      <w:marBottom w:val="0"/>
      <w:divBdr>
        <w:top w:val="none" w:sz="0" w:space="0" w:color="auto"/>
        <w:left w:val="none" w:sz="0" w:space="0" w:color="auto"/>
        <w:bottom w:val="none" w:sz="0" w:space="0" w:color="auto"/>
        <w:right w:val="none" w:sz="0" w:space="0" w:color="auto"/>
      </w:divBdr>
    </w:div>
    <w:div w:id="548568879">
      <w:bodyDiv w:val="1"/>
      <w:marLeft w:val="0"/>
      <w:marRight w:val="0"/>
      <w:marTop w:val="0"/>
      <w:marBottom w:val="0"/>
      <w:divBdr>
        <w:top w:val="none" w:sz="0" w:space="0" w:color="auto"/>
        <w:left w:val="none" w:sz="0" w:space="0" w:color="auto"/>
        <w:bottom w:val="none" w:sz="0" w:space="0" w:color="auto"/>
        <w:right w:val="none" w:sz="0" w:space="0" w:color="auto"/>
      </w:divBdr>
    </w:div>
    <w:div w:id="565844531">
      <w:bodyDiv w:val="1"/>
      <w:marLeft w:val="0"/>
      <w:marRight w:val="0"/>
      <w:marTop w:val="0"/>
      <w:marBottom w:val="0"/>
      <w:divBdr>
        <w:top w:val="none" w:sz="0" w:space="0" w:color="auto"/>
        <w:left w:val="none" w:sz="0" w:space="0" w:color="auto"/>
        <w:bottom w:val="none" w:sz="0" w:space="0" w:color="auto"/>
        <w:right w:val="none" w:sz="0" w:space="0" w:color="auto"/>
      </w:divBdr>
    </w:div>
    <w:div w:id="583345170">
      <w:bodyDiv w:val="1"/>
      <w:marLeft w:val="0"/>
      <w:marRight w:val="0"/>
      <w:marTop w:val="0"/>
      <w:marBottom w:val="0"/>
      <w:divBdr>
        <w:top w:val="none" w:sz="0" w:space="0" w:color="auto"/>
        <w:left w:val="none" w:sz="0" w:space="0" w:color="auto"/>
        <w:bottom w:val="none" w:sz="0" w:space="0" w:color="auto"/>
        <w:right w:val="none" w:sz="0" w:space="0" w:color="auto"/>
      </w:divBdr>
    </w:div>
    <w:div w:id="590087811">
      <w:bodyDiv w:val="1"/>
      <w:marLeft w:val="0"/>
      <w:marRight w:val="0"/>
      <w:marTop w:val="0"/>
      <w:marBottom w:val="0"/>
      <w:divBdr>
        <w:top w:val="none" w:sz="0" w:space="0" w:color="auto"/>
        <w:left w:val="none" w:sz="0" w:space="0" w:color="auto"/>
        <w:bottom w:val="none" w:sz="0" w:space="0" w:color="auto"/>
        <w:right w:val="none" w:sz="0" w:space="0" w:color="auto"/>
      </w:divBdr>
    </w:div>
    <w:div w:id="593170318">
      <w:bodyDiv w:val="1"/>
      <w:marLeft w:val="0"/>
      <w:marRight w:val="0"/>
      <w:marTop w:val="0"/>
      <w:marBottom w:val="0"/>
      <w:divBdr>
        <w:top w:val="none" w:sz="0" w:space="0" w:color="auto"/>
        <w:left w:val="none" w:sz="0" w:space="0" w:color="auto"/>
        <w:bottom w:val="none" w:sz="0" w:space="0" w:color="auto"/>
        <w:right w:val="none" w:sz="0" w:space="0" w:color="auto"/>
      </w:divBdr>
    </w:div>
    <w:div w:id="594704303">
      <w:bodyDiv w:val="1"/>
      <w:marLeft w:val="0"/>
      <w:marRight w:val="0"/>
      <w:marTop w:val="0"/>
      <w:marBottom w:val="0"/>
      <w:divBdr>
        <w:top w:val="none" w:sz="0" w:space="0" w:color="auto"/>
        <w:left w:val="none" w:sz="0" w:space="0" w:color="auto"/>
        <w:bottom w:val="none" w:sz="0" w:space="0" w:color="auto"/>
        <w:right w:val="none" w:sz="0" w:space="0" w:color="auto"/>
      </w:divBdr>
    </w:div>
    <w:div w:id="605112325">
      <w:bodyDiv w:val="1"/>
      <w:marLeft w:val="0"/>
      <w:marRight w:val="0"/>
      <w:marTop w:val="0"/>
      <w:marBottom w:val="0"/>
      <w:divBdr>
        <w:top w:val="none" w:sz="0" w:space="0" w:color="auto"/>
        <w:left w:val="none" w:sz="0" w:space="0" w:color="auto"/>
        <w:bottom w:val="none" w:sz="0" w:space="0" w:color="auto"/>
        <w:right w:val="none" w:sz="0" w:space="0" w:color="auto"/>
      </w:divBdr>
    </w:div>
    <w:div w:id="616259334">
      <w:bodyDiv w:val="1"/>
      <w:marLeft w:val="0"/>
      <w:marRight w:val="0"/>
      <w:marTop w:val="0"/>
      <w:marBottom w:val="0"/>
      <w:divBdr>
        <w:top w:val="none" w:sz="0" w:space="0" w:color="auto"/>
        <w:left w:val="none" w:sz="0" w:space="0" w:color="auto"/>
        <w:bottom w:val="none" w:sz="0" w:space="0" w:color="auto"/>
        <w:right w:val="none" w:sz="0" w:space="0" w:color="auto"/>
      </w:divBdr>
    </w:div>
    <w:div w:id="617107290">
      <w:bodyDiv w:val="1"/>
      <w:marLeft w:val="0"/>
      <w:marRight w:val="0"/>
      <w:marTop w:val="0"/>
      <w:marBottom w:val="0"/>
      <w:divBdr>
        <w:top w:val="none" w:sz="0" w:space="0" w:color="auto"/>
        <w:left w:val="none" w:sz="0" w:space="0" w:color="auto"/>
        <w:bottom w:val="none" w:sz="0" w:space="0" w:color="auto"/>
        <w:right w:val="none" w:sz="0" w:space="0" w:color="auto"/>
      </w:divBdr>
    </w:div>
    <w:div w:id="620571552">
      <w:bodyDiv w:val="1"/>
      <w:marLeft w:val="0"/>
      <w:marRight w:val="0"/>
      <w:marTop w:val="0"/>
      <w:marBottom w:val="0"/>
      <w:divBdr>
        <w:top w:val="none" w:sz="0" w:space="0" w:color="auto"/>
        <w:left w:val="none" w:sz="0" w:space="0" w:color="auto"/>
        <w:bottom w:val="none" w:sz="0" w:space="0" w:color="auto"/>
        <w:right w:val="none" w:sz="0" w:space="0" w:color="auto"/>
      </w:divBdr>
    </w:div>
    <w:div w:id="624972541">
      <w:bodyDiv w:val="1"/>
      <w:marLeft w:val="0"/>
      <w:marRight w:val="0"/>
      <w:marTop w:val="0"/>
      <w:marBottom w:val="0"/>
      <w:divBdr>
        <w:top w:val="none" w:sz="0" w:space="0" w:color="auto"/>
        <w:left w:val="none" w:sz="0" w:space="0" w:color="auto"/>
        <w:bottom w:val="none" w:sz="0" w:space="0" w:color="auto"/>
        <w:right w:val="none" w:sz="0" w:space="0" w:color="auto"/>
      </w:divBdr>
    </w:div>
    <w:div w:id="632948671">
      <w:bodyDiv w:val="1"/>
      <w:marLeft w:val="0"/>
      <w:marRight w:val="0"/>
      <w:marTop w:val="0"/>
      <w:marBottom w:val="0"/>
      <w:divBdr>
        <w:top w:val="none" w:sz="0" w:space="0" w:color="auto"/>
        <w:left w:val="none" w:sz="0" w:space="0" w:color="auto"/>
        <w:bottom w:val="none" w:sz="0" w:space="0" w:color="auto"/>
        <w:right w:val="none" w:sz="0" w:space="0" w:color="auto"/>
      </w:divBdr>
    </w:div>
    <w:div w:id="637690416">
      <w:bodyDiv w:val="1"/>
      <w:marLeft w:val="0"/>
      <w:marRight w:val="0"/>
      <w:marTop w:val="0"/>
      <w:marBottom w:val="0"/>
      <w:divBdr>
        <w:top w:val="none" w:sz="0" w:space="0" w:color="auto"/>
        <w:left w:val="none" w:sz="0" w:space="0" w:color="auto"/>
        <w:bottom w:val="none" w:sz="0" w:space="0" w:color="auto"/>
        <w:right w:val="none" w:sz="0" w:space="0" w:color="auto"/>
      </w:divBdr>
    </w:div>
    <w:div w:id="641038744">
      <w:bodyDiv w:val="1"/>
      <w:marLeft w:val="0"/>
      <w:marRight w:val="0"/>
      <w:marTop w:val="0"/>
      <w:marBottom w:val="0"/>
      <w:divBdr>
        <w:top w:val="none" w:sz="0" w:space="0" w:color="auto"/>
        <w:left w:val="none" w:sz="0" w:space="0" w:color="auto"/>
        <w:bottom w:val="none" w:sz="0" w:space="0" w:color="auto"/>
        <w:right w:val="none" w:sz="0" w:space="0" w:color="auto"/>
      </w:divBdr>
    </w:div>
    <w:div w:id="641690632">
      <w:bodyDiv w:val="1"/>
      <w:marLeft w:val="0"/>
      <w:marRight w:val="0"/>
      <w:marTop w:val="0"/>
      <w:marBottom w:val="0"/>
      <w:divBdr>
        <w:top w:val="none" w:sz="0" w:space="0" w:color="auto"/>
        <w:left w:val="none" w:sz="0" w:space="0" w:color="auto"/>
        <w:bottom w:val="none" w:sz="0" w:space="0" w:color="auto"/>
        <w:right w:val="none" w:sz="0" w:space="0" w:color="auto"/>
      </w:divBdr>
    </w:div>
    <w:div w:id="652098379">
      <w:bodyDiv w:val="1"/>
      <w:marLeft w:val="0"/>
      <w:marRight w:val="0"/>
      <w:marTop w:val="0"/>
      <w:marBottom w:val="0"/>
      <w:divBdr>
        <w:top w:val="none" w:sz="0" w:space="0" w:color="auto"/>
        <w:left w:val="none" w:sz="0" w:space="0" w:color="auto"/>
        <w:bottom w:val="none" w:sz="0" w:space="0" w:color="auto"/>
        <w:right w:val="none" w:sz="0" w:space="0" w:color="auto"/>
      </w:divBdr>
    </w:div>
    <w:div w:id="656543111">
      <w:bodyDiv w:val="1"/>
      <w:marLeft w:val="0"/>
      <w:marRight w:val="0"/>
      <w:marTop w:val="0"/>
      <w:marBottom w:val="0"/>
      <w:divBdr>
        <w:top w:val="none" w:sz="0" w:space="0" w:color="auto"/>
        <w:left w:val="none" w:sz="0" w:space="0" w:color="auto"/>
        <w:bottom w:val="none" w:sz="0" w:space="0" w:color="auto"/>
        <w:right w:val="none" w:sz="0" w:space="0" w:color="auto"/>
      </w:divBdr>
    </w:div>
    <w:div w:id="691297861">
      <w:bodyDiv w:val="1"/>
      <w:marLeft w:val="0"/>
      <w:marRight w:val="0"/>
      <w:marTop w:val="0"/>
      <w:marBottom w:val="0"/>
      <w:divBdr>
        <w:top w:val="none" w:sz="0" w:space="0" w:color="auto"/>
        <w:left w:val="none" w:sz="0" w:space="0" w:color="auto"/>
        <w:bottom w:val="none" w:sz="0" w:space="0" w:color="auto"/>
        <w:right w:val="none" w:sz="0" w:space="0" w:color="auto"/>
      </w:divBdr>
    </w:div>
    <w:div w:id="692003677">
      <w:bodyDiv w:val="1"/>
      <w:marLeft w:val="0"/>
      <w:marRight w:val="0"/>
      <w:marTop w:val="0"/>
      <w:marBottom w:val="0"/>
      <w:divBdr>
        <w:top w:val="none" w:sz="0" w:space="0" w:color="auto"/>
        <w:left w:val="none" w:sz="0" w:space="0" w:color="auto"/>
        <w:bottom w:val="none" w:sz="0" w:space="0" w:color="auto"/>
        <w:right w:val="none" w:sz="0" w:space="0" w:color="auto"/>
      </w:divBdr>
    </w:div>
    <w:div w:id="692266042">
      <w:bodyDiv w:val="1"/>
      <w:marLeft w:val="0"/>
      <w:marRight w:val="0"/>
      <w:marTop w:val="0"/>
      <w:marBottom w:val="0"/>
      <w:divBdr>
        <w:top w:val="none" w:sz="0" w:space="0" w:color="auto"/>
        <w:left w:val="none" w:sz="0" w:space="0" w:color="auto"/>
        <w:bottom w:val="none" w:sz="0" w:space="0" w:color="auto"/>
        <w:right w:val="none" w:sz="0" w:space="0" w:color="auto"/>
      </w:divBdr>
    </w:div>
    <w:div w:id="697513487">
      <w:bodyDiv w:val="1"/>
      <w:marLeft w:val="0"/>
      <w:marRight w:val="0"/>
      <w:marTop w:val="0"/>
      <w:marBottom w:val="0"/>
      <w:divBdr>
        <w:top w:val="none" w:sz="0" w:space="0" w:color="auto"/>
        <w:left w:val="none" w:sz="0" w:space="0" w:color="auto"/>
        <w:bottom w:val="none" w:sz="0" w:space="0" w:color="auto"/>
        <w:right w:val="none" w:sz="0" w:space="0" w:color="auto"/>
      </w:divBdr>
    </w:div>
    <w:div w:id="699890357">
      <w:bodyDiv w:val="1"/>
      <w:marLeft w:val="0"/>
      <w:marRight w:val="0"/>
      <w:marTop w:val="0"/>
      <w:marBottom w:val="0"/>
      <w:divBdr>
        <w:top w:val="none" w:sz="0" w:space="0" w:color="auto"/>
        <w:left w:val="none" w:sz="0" w:space="0" w:color="auto"/>
        <w:bottom w:val="none" w:sz="0" w:space="0" w:color="auto"/>
        <w:right w:val="none" w:sz="0" w:space="0" w:color="auto"/>
      </w:divBdr>
    </w:div>
    <w:div w:id="699891053">
      <w:bodyDiv w:val="1"/>
      <w:marLeft w:val="0"/>
      <w:marRight w:val="0"/>
      <w:marTop w:val="0"/>
      <w:marBottom w:val="0"/>
      <w:divBdr>
        <w:top w:val="none" w:sz="0" w:space="0" w:color="auto"/>
        <w:left w:val="none" w:sz="0" w:space="0" w:color="auto"/>
        <w:bottom w:val="none" w:sz="0" w:space="0" w:color="auto"/>
        <w:right w:val="none" w:sz="0" w:space="0" w:color="auto"/>
      </w:divBdr>
    </w:div>
    <w:div w:id="704063733">
      <w:bodyDiv w:val="1"/>
      <w:marLeft w:val="0"/>
      <w:marRight w:val="0"/>
      <w:marTop w:val="0"/>
      <w:marBottom w:val="0"/>
      <w:divBdr>
        <w:top w:val="none" w:sz="0" w:space="0" w:color="auto"/>
        <w:left w:val="none" w:sz="0" w:space="0" w:color="auto"/>
        <w:bottom w:val="none" w:sz="0" w:space="0" w:color="auto"/>
        <w:right w:val="none" w:sz="0" w:space="0" w:color="auto"/>
      </w:divBdr>
    </w:div>
    <w:div w:id="707607975">
      <w:bodyDiv w:val="1"/>
      <w:marLeft w:val="0"/>
      <w:marRight w:val="0"/>
      <w:marTop w:val="0"/>
      <w:marBottom w:val="0"/>
      <w:divBdr>
        <w:top w:val="none" w:sz="0" w:space="0" w:color="auto"/>
        <w:left w:val="none" w:sz="0" w:space="0" w:color="auto"/>
        <w:bottom w:val="none" w:sz="0" w:space="0" w:color="auto"/>
        <w:right w:val="none" w:sz="0" w:space="0" w:color="auto"/>
      </w:divBdr>
    </w:div>
    <w:div w:id="711151523">
      <w:bodyDiv w:val="1"/>
      <w:marLeft w:val="0"/>
      <w:marRight w:val="0"/>
      <w:marTop w:val="0"/>
      <w:marBottom w:val="0"/>
      <w:divBdr>
        <w:top w:val="none" w:sz="0" w:space="0" w:color="auto"/>
        <w:left w:val="none" w:sz="0" w:space="0" w:color="auto"/>
        <w:bottom w:val="none" w:sz="0" w:space="0" w:color="auto"/>
        <w:right w:val="none" w:sz="0" w:space="0" w:color="auto"/>
      </w:divBdr>
    </w:div>
    <w:div w:id="714279629">
      <w:bodyDiv w:val="1"/>
      <w:marLeft w:val="0"/>
      <w:marRight w:val="0"/>
      <w:marTop w:val="0"/>
      <w:marBottom w:val="0"/>
      <w:divBdr>
        <w:top w:val="none" w:sz="0" w:space="0" w:color="auto"/>
        <w:left w:val="none" w:sz="0" w:space="0" w:color="auto"/>
        <w:bottom w:val="none" w:sz="0" w:space="0" w:color="auto"/>
        <w:right w:val="none" w:sz="0" w:space="0" w:color="auto"/>
      </w:divBdr>
    </w:div>
    <w:div w:id="714816962">
      <w:bodyDiv w:val="1"/>
      <w:marLeft w:val="0"/>
      <w:marRight w:val="0"/>
      <w:marTop w:val="0"/>
      <w:marBottom w:val="0"/>
      <w:divBdr>
        <w:top w:val="none" w:sz="0" w:space="0" w:color="auto"/>
        <w:left w:val="none" w:sz="0" w:space="0" w:color="auto"/>
        <w:bottom w:val="none" w:sz="0" w:space="0" w:color="auto"/>
        <w:right w:val="none" w:sz="0" w:space="0" w:color="auto"/>
      </w:divBdr>
    </w:div>
    <w:div w:id="718358821">
      <w:bodyDiv w:val="1"/>
      <w:marLeft w:val="0"/>
      <w:marRight w:val="0"/>
      <w:marTop w:val="0"/>
      <w:marBottom w:val="0"/>
      <w:divBdr>
        <w:top w:val="none" w:sz="0" w:space="0" w:color="auto"/>
        <w:left w:val="none" w:sz="0" w:space="0" w:color="auto"/>
        <w:bottom w:val="none" w:sz="0" w:space="0" w:color="auto"/>
        <w:right w:val="none" w:sz="0" w:space="0" w:color="auto"/>
      </w:divBdr>
    </w:div>
    <w:div w:id="729036644">
      <w:bodyDiv w:val="1"/>
      <w:marLeft w:val="0"/>
      <w:marRight w:val="0"/>
      <w:marTop w:val="0"/>
      <w:marBottom w:val="0"/>
      <w:divBdr>
        <w:top w:val="none" w:sz="0" w:space="0" w:color="auto"/>
        <w:left w:val="none" w:sz="0" w:space="0" w:color="auto"/>
        <w:bottom w:val="none" w:sz="0" w:space="0" w:color="auto"/>
        <w:right w:val="none" w:sz="0" w:space="0" w:color="auto"/>
      </w:divBdr>
    </w:div>
    <w:div w:id="729617468">
      <w:bodyDiv w:val="1"/>
      <w:marLeft w:val="0"/>
      <w:marRight w:val="0"/>
      <w:marTop w:val="0"/>
      <w:marBottom w:val="0"/>
      <w:divBdr>
        <w:top w:val="none" w:sz="0" w:space="0" w:color="auto"/>
        <w:left w:val="none" w:sz="0" w:space="0" w:color="auto"/>
        <w:bottom w:val="none" w:sz="0" w:space="0" w:color="auto"/>
        <w:right w:val="none" w:sz="0" w:space="0" w:color="auto"/>
      </w:divBdr>
    </w:div>
    <w:div w:id="739601005">
      <w:bodyDiv w:val="1"/>
      <w:marLeft w:val="0"/>
      <w:marRight w:val="0"/>
      <w:marTop w:val="0"/>
      <w:marBottom w:val="0"/>
      <w:divBdr>
        <w:top w:val="none" w:sz="0" w:space="0" w:color="auto"/>
        <w:left w:val="none" w:sz="0" w:space="0" w:color="auto"/>
        <w:bottom w:val="none" w:sz="0" w:space="0" w:color="auto"/>
        <w:right w:val="none" w:sz="0" w:space="0" w:color="auto"/>
      </w:divBdr>
    </w:div>
    <w:div w:id="749038780">
      <w:bodyDiv w:val="1"/>
      <w:marLeft w:val="0"/>
      <w:marRight w:val="0"/>
      <w:marTop w:val="0"/>
      <w:marBottom w:val="0"/>
      <w:divBdr>
        <w:top w:val="none" w:sz="0" w:space="0" w:color="auto"/>
        <w:left w:val="none" w:sz="0" w:space="0" w:color="auto"/>
        <w:bottom w:val="none" w:sz="0" w:space="0" w:color="auto"/>
        <w:right w:val="none" w:sz="0" w:space="0" w:color="auto"/>
      </w:divBdr>
    </w:div>
    <w:div w:id="749081208">
      <w:bodyDiv w:val="1"/>
      <w:marLeft w:val="0"/>
      <w:marRight w:val="0"/>
      <w:marTop w:val="0"/>
      <w:marBottom w:val="0"/>
      <w:divBdr>
        <w:top w:val="none" w:sz="0" w:space="0" w:color="auto"/>
        <w:left w:val="none" w:sz="0" w:space="0" w:color="auto"/>
        <w:bottom w:val="none" w:sz="0" w:space="0" w:color="auto"/>
        <w:right w:val="none" w:sz="0" w:space="0" w:color="auto"/>
      </w:divBdr>
    </w:div>
    <w:div w:id="754784527">
      <w:bodyDiv w:val="1"/>
      <w:marLeft w:val="0"/>
      <w:marRight w:val="0"/>
      <w:marTop w:val="0"/>
      <w:marBottom w:val="0"/>
      <w:divBdr>
        <w:top w:val="none" w:sz="0" w:space="0" w:color="auto"/>
        <w:left w:val="none" w:sz="0" w:space="0" w:color="auto"/>
        <w:bottom w:val="none" w:sz="0" w:space="0" w:color="auto"/>
        <w:right w:val="none" w:sz="0" w:space="0" w:color="auto"/>
      </w:divBdr>
    </w:div>
    <w:div w:id="758335042">
      <w:bodyDiv w:val="1"/>
      <w:marLeft w:val="0"/>
      <w:marRight w:val="0"/>
      <w:marTop w:val="0"/>
      <w:marBottom w:val="0"/>
      <w:divBdr>
        <w:top w:val="none" w:sz="0" w:space="0" w:color="auto"/>
        <w:left w:val="none" w:sz="0" w:space="0" w:color="auto"/>
        <w:bottom w:val="none" w:sz="0" w:space="0" w:color="auto"/>
        <w:right w:val="none" w:sz="0" w:space="0" w:color="auto"/>
      </w:divBdr>
    </w:div>
    <w:div w:id="789934512">
      <w:bodyDiv w:val="1"/>
      <w:marLeft w:val="0"/>
      <w:marRight w:val="0"/>
      <w:marTop w:val="0"/>
      <w:marBottom w:val="0"/>
      <w:divBdr>
        <w:top w:val="none" w:sz="0" w:space="0" w:color="auto"/>
        <w:left w:val="none" w:sz="0" w:space="0" w:color="auto"/>
        <w:bottom w:val="none" w:sz="0" w:space="0" w:color="auto"/>
        <w:right w:val="none" w:sz="0" w:space="0" w:color="auto"/>
      </w:divBdr>
    </w:div>
    <w:div w:id="800919338">
      <w:bodyDiv w:val="1"/>
      <w:marLeft w:val="0"/>
      <w:marRight w:val="0"/>
      <w:marTop w:val="0"/>
      <w:marBottom w:val="0"/>
      <w:divBdr>
        <w:top w:val="none" w:sz="0" w:space="0" w:color="auto"/>
        <w:left w:val="none" w:sz="0" w:space="0" w:color="auto"/>
        <w:bottom w:val="none" w:sz="0" w:space="0" w:color="auto"/>
        <w:right w:val="none" w:sz="0" w:space="0" w:color="auto"/>
      </w:divBdr>
    </w:div>
    <w:div w:id="801970907">
      <w:bodyDiv w:val="1"/>
      <w:marLeft w:val="0"/>
      <w:marRight w:val="0"/>
      <w:marTop w:val="0"/>
      <w:marBottom w:val="0"/>
      <w:divBdr>
        <w:top w:val="none" w:sz="0" w:space="0" w:color="auto"/>
        <w:left w:val="none" w:sz="0" w:space="0" w:color="auto"/>
        <w:bottom w:val="none" w:sz="0" w:space="0" w:color="auto"/>
        <w:right w:val="none" w:sz="0" w:space="0" w:color="auto"/>
      </w:divBdr>
    </w:div>
    <w:div w:id="809439793">
      <w:bodyDiv w:val="1"/>
      <w:marLeft w:val="0"/>
      <w:marRight w:val="0"/>
      <w:marTop w:val="0"/>
      <w:marBottom w:val="0"/>
      <w:divBdr>
        <w:top w:val="none" w:sz="0" w:space="0" w:color="auto"/>
        <w:left w:val="none" w:sz="0" w:space="0" w:color="auto"/>
        <w:bottom w:val="none" w:sz="0" w:space="0" w:color="auto"/>
        <w:right w:val="none" w:sz="0" w:space="0" w:color="auto"/>
      </w:divBdr>
    </w:div>
    <w:div w:id="812601896">
      <w:bodyDiv w:val="1"/>
      <w:marLeft w:val="0"/>
      <w:marRight w:val="0"/>
      <w:marTop w:val="0"/>
      <w:marBottom w:val="0"/>
      <w:divBdr>
        <w:top w:val="none" w:sz="0" w:space="0" w:color="auto"/>
        <w:left w:val="none" w:sz="0" w:space="0" w:color="auto"/>
        <w:bottom w:val="none" w:sz="0" w:space="0" w:color="auto"/>
        <w:right w:val="none" w:sz="0" w:space="0" w:color="auto"/>
      </w:divBdr>
    </w:div>
    <w:div w:id="834339802">
      <w:bodyDiv w:val="1"/>
      <w:marLeft w:val="0"/>
      <w:marRight w:val="0"/>
      <w:marTop w:val="0"/>
      <w:marBottom w:val="0"/>
      <w:divBdr>
        <w:top w:val="none" w:sz="0" w:space="0" w:color="auto"/>
        <w:left w:val="none" w:sz="0" w:space="0" w:color="auto"/>
        <w:bottom w:val="none" w:sz="0" w:space="0" w:color="auto"/>
        <w:right w:val="none" w:sz="0" w:space="0" w:color="auto"/>
      </w:divBdr>
    </w:div>
    <w:div w:id="843476096">
      <w:bodyDiv w:val="1"/>
      <w:marLeft w:val="0"/>
      <w:marRight w:val="0"/>
      <w:marTop w:val="0"/>
      <w:marBottom w:val="0"/>
      <w:divBdr>
        <w:top w:val="none" w:sz="0" w:space="0" w:color="auto"/>
        <w:left w:val="none" w:sz="0" w:space="0" w:color="auto"/>
        <w:bottom w:val="none" w:sz="0" w:space="0" w:color="auto"/>
        <w:right w:val="none" w:sz="0" w:space="0" w:color="auto"/>
      </w:divBdr>
    </w:div>
    <w:div w:id="844589037">
      <w:bodyDiv w:val="1"/>
      <w:marLeft w:val="0"/>
      <w:marRight w:val="0"/>
      <w:marTop w:val="0"/>
      <w:marBottom w:val="0"/>
      <w:divBdr>
        <w:top w:val="none" w:sz="0" w:space="0" w:color="auto"/>
        <w:left w:val="none" w:sz="0" w:space="0" w:color="auto"/>
        <w:bottom w:val="none" w:sz="0" w:space="0" w:color="auto"/>
        <w:right w:val="none" w:sz="0" w:space="0" w:color="auto"/>
      </w:divBdr>
    </w:div>
    <w:div w:id="864711050">
      <w:bodyDiv w:val="1"/>
      <w:marLeft w:val="0"/>
      <w:marRight w:val="0"/>
      <w:marTop w:val="0"/>
      <w:marBottom w:val="0"/>
      <w:divBdr>
        <w:top w:val="none" w:sz="0" w:space="0" w:color="auto"/>
        <w:left w:val="none" w:sz="0" w:space="0" w:color="auto"/>
        <w:bottom w:val="none" w:sz="0" w:space="0" w:color="auto"/>
        <w:right w:val="none" w:sz="0" w:space="0" w:color="auto"/>
      </w:divBdr>
    </w:div>
    <w:div w:id="874537970">
      <w:bodyDiv w:val="1"/>
      <w:marLeft w:val="0"/>
      <w:marRight w:val="0"/>
      <w:marTop w:val="0"/>
      <w:marBottom w:val="0"/>
      <w:divBdr>
        <w:top w:val="none" w:sz="0" w:space="0" w:color="auto"/>
        <w:left w:val="none" w:sz="0" w:space="0" w:color="auto"/>
        <w:bottom w:val="none" w:sz="0" w:space="0" w:color="auto"/>
        <w:right w:val="none" w:sz="0" w:space="0" w:color="auto"/>
      </w:divBdr>
    </w:div>
    <w:div w:id="877474774">
      <w:bodyDiv w:val="1"/>
      <w:marLeft w:val="0"/>
      <w:marRight w:val="0"/>
      <w:marTop w:val="0"/>
      <w:marBottom w:val="0"/>
      <w:divBdr>
        <w:top w:val="none" w:sz="0" w:space="0" w:color="auto"/>
        <w:left w:val="none" w:sz="0" w:space="0" w:color="auto"/>
        <w:bottom w:val="none" w:sz="0" w:space="0" w:color="auto"/>
        <w:right w:val="none" w:sz="0" w:space="0" w:color="auto"/>
      </w:divBdr>
    </w:div>
    <w:div w:id="878391765">
      <w:bodyDiv w:val="1"/>
      <w:marLeft w:val="0"/>
      <w:marRight w:val="0"/>
      <w:marTop w:val="0"/>
      <w:marBottom w:val="0"/>
      <w:divBdr>
        <w:top w:val="none" w:sz="0" w:space="0" w:color="auto"/>
        <w:left w:val="none" w:sz="0" w:space="0" w:color="auto"/>
        <w:bottom w:val="none" w:sz="0" w:space="0" w:color="auto"/>
        <w:right w:val="none" w:sz="0" w:space="0" w:color="auto"/>
      </w:divBdr>
    </w:div>
    <w:div w:id="879786827">
      <w:bodyDiv w:val="1"/>
      <w:marLeft w:val="0"/>
      <w:marRight w:val="0"/>
      <w:marTop w:val="0"/>
      <w:marBottom w:val="0"/>
      <w:divBdr>
        <w:top w:val="none" w:sz="0" w:space="0" w:color="auto"/>
        <w:left w:val="none" w:sz="0" w:space="0" w:color="auto"/>
        <w:bottom w:val="none" w:sz="0" w:space="0" w:color="auto"/>
        <w:right w:val="none" w:sz="0" w:space="0" w:color="auto"/>
      </w:divBdr>
    </w:div>
    <w:div w:id="884945541">
      <w:bodyDiv w:val="1"/>
      <w:marLeft w:val="0"/>
      <w:marRight w:val="0"/>
      <w:marTop w:val="0"/>
      <w:marBottom w:val="0"/>
      <w:divBdr>
        <w:top w:val="none" w:sz="0" w:space="0" w:color="auto"/>
        <w:left w:val="none" w:sz="0" w:space="0" w:color="auto"/>
        <w:bottom w:val="none" w:sz="0" w:space="0" w:color="auto"/>
        <w:right w:val="none" w:sz="0" w:space="0" w:color="auto"/>
      </w:divBdr>
      <w:divsChild>
        <w:div w:id="1159036911">
          <w:marLeft w:val="360"/>
          <w:marRight w:val="0"/>
          <w:marTop w:val="200"/>
          <w:marBottom w:val="0"/>
          <w:divBdr>
            <w:top w:val="none" w:sz="0" w:space="0" w:color="auto"/>
            <w:left w:val="none" w:sz="0" w:space="0" w:color="auto"/>
            <w:bottom w:val="none" w:sz="0" w:space="0" w:color="auto"/>
            <w:right w:val="none" w:sz="0" w:space="0" w:color="auto"/>
          </w:divBdr>
        </w:div>
      </w:divsChild>
    </w:div>
    <w:div w:id="896360234">
      <w:bodyDiv w:val="1"/>
      <w:marLeft w:val="0"/>
      <w:marRight w:val="0"/>
      <w:marTop w:val="0"/>
      <w:marBottom w:val="0"/>
      <w:divBdr>
        <w:top w:val="none" w:sz="0" w:space="0" w:color="auto"/>
        <w:left w:val="none" w:sz="0" w:space="0" w:color="auto"/>
        <w:bottom w:val="none" w:sz="0" w:space="0" w:color="auto"/>
        <w:right w:val="none" w:sz="0" w:space="0" w:color="auto"/>
      </w:divBdr>
    </w:div>
    <w:div w:id="897740348">
      <w:bodyDiv w:val="1"/>
      <w:marLeft w:val="0"/>
      <w:marRight w:val="0"/>
      <w:marTop w:val="0"/>
      <w:marBottom w:val="0"/>
      <w:divBdr>
        <w:top w:val="none" w:sz="0" w:space="0" w:color="auto"/>
        <w:left w:val="none" w:sz="0" w:space="0" w:color="auto"/>
        <w:bottom w:val="none" w:sz="0" w:space="0" w:color="auto"/>
        <w:right w:val="none" w:sz="0" w:space="0" w:color="auto"/>
      </w:divBdr>
    </w:div>
    <w:div w:id="900407246">
      <w:bodyDiv w:val="1"/>
      <w:marLeft w:val="0"/>
      <w:marRight w:val="0"/>
      <w:marTop w:val="0"/>
      <w:marBottom w:val="0"/>
      <w:divBdr>
        <w:top w:val="none" w:sz="0" w:space="0" w:color="auto"/>
        <w:left w:val="none" w:sz="0" w:space="0" w:color="auto"/>
        <w:bottom w:val="none" w:sz="0" w:space="0" w:color="auto"/>
        <w:right w:val="none" w:sz="0" w:space="0" w:color="auto"/>
      </w:divBdr>
    </w:div>
    <w:div w:id="905991901">
      <w:bodyDiv w:val="1"/>
      <w:marLeft w:val="0"/>
      <w:marRight w:val="0"/>
      <w:marTop w:val="0"/>
      <w:marBottom w:val="0"/>
      <w:divBdr>
        <w:top w:val="none" w:sz="0" w:space="0" w:color="auto"/>
        <w:left w:val="none" w:sz="0" w:space="0" w:color="auto"/>
        <w:bottom w:val="none" w:sz="0" w:space="0" w:color="auto"/>
        <w:right w:val="none" w:sz="0" w:space="0" w:color="auto"/>
      </w:divBdr>
    </w:div>
    <w:div w:id="932401507">
      <w:bodyDiv w:val="1"/>
      <w:marLeft w:val="0"/>
      <w:marRight w:val="0"/>
      <w:marTop w:val="0"/>
      <w:marBottom w:val="0"/>
      <w:divBdr>
        <w:top w:val="none" w:sz="0" w:space="0" w:color="auto"/>
        <w:left w:val="none" w:sz="0" w:space="0" w:color="auto"/>
        <w:bottom w:val="none" w:sz="0" w:space="0" w:color="auto"/>
        <w:right w:val="none" w:sz="0" w:space="0" w:color="auto"/>
      </w:divBdr>
    </w:div>
    <w:div w:id="939144954">
      <w:bodyDiv w:val="1"/>
      <w:marLeft w:val="0"/>
      <w:marRight w:val="0"/>
      <w:marTop w:val="0"/>
      <w:marBottom w:val="0"/>
      <w:divBdr>
        <w:top w:val="none" w:sz="0" w:space="0" w:color="auto"/>
        <w:left w:val="none" w:sz="0" w:space="0" w:color="auto"/>
        <w:bottom w:val="none" w:sz="0" w:space="0" w:color="auto"/>
        <w:right w:val="none" w:sz="0" w:space="0" w:color="auto"/>
      </w:divBdr>
    </w:div>
    <w:div w:id="944074777">
      <w:bodyDiv w:val="1"/>
      <w:marLeft w:val="0"/>
      <w:marRight w:val="0"/>
      <w:marTop w:val="0"/>
      <w:marBottom w:val="0"/>
      <w:divBdr>
        <w:top w:val="none" w:sz="0" w:space="0" w:color="auto"/>
        <w:left w:val="none" w:sz="0" w:space="0" w:color="auto"/>
        <w:bottom w:val="none" w:sz="0" w:space="0" w:color="auto"/>
        <w:right w:val="none" w:sz="0" w:space="0" w:color="auto"/>
      </w:divBdr>
    </w:div>
    <w:div w:id="944532431">
      <w:bodyDiv w:val="1"/>
      <w:marLeft w:val="0"/>
      <w:marRight w:val="0"/>
      <w:marTop w:val="0"/>
      <w:marBottom w:val="0"/>
      <w:divBdr>
        <w:top w:val="none" w:sz="0" w:space="0" w:color="auto"/>
        <w:left w:val="none" w:sz="0" w:space="0" w:color="auto"/>
        <w:bottom w:val="none" w:sz="0" w:space="0" w:color="auto"/>
        <w:right w:val="none" w:sz="0" w:space="0" w:color="auto"/>
      </w:divBdr>
    </w:div>
    <w:div w:id="950011805">
      <w:bodyDiv w:val="1"/>
      <w:marLeft w:val="0"/>
      <w:marRight w:val="0"/>
      <w:marTop w:val="0"/>
      <w:marBottom w:val="0"/>
      <w:divBdr>
        <w:top w:val="none" w:sz="0" w:space="0" w:color="auto"/>
        <w:left w:val="none" w:sz="0" w:space="0" w:color="auto"/>
        <w:bottom w:val="none" w:sz="0" w:space="0" w:color="auto"/>
        <w:right w:val="none" w:sz="0" w:space="0" w:color="auto"/>
      </w:divBdr>
    </w:div>
    <w:div w:id="956645323">
      <w:bodyDiv w:val="1"/>
      <w:marLeft w:val="0"/>
      <w:marRight w:val="0"/>
      <w:marTop w:val="0"/>
      <w:marBottom w:val="0"/>
      <w:divBdr>
        <w:top w:val="none" w:sz="0" w:space="0" w:color="auto"/>
        <w:left w:val="none" w:sz="0" w:space="0" w:color="auto"/>
        <w:bottom w:val="none" w:sz="0" w:space="0" w:color="auto"/>
        <w:right w:val="none" w:sz="0" w:space="0" w:color="auto"/>
      </w:divBdr>
    </w:div>
    <w:div w:id="963463315">
      <w:bodyDiv w:val="1"/>
      <w:marLeft w:val="0"/>
      <w:marRight w:val="0"/>
      <w:marTop w:val="0"/>
      <w:marBottom w:val="0"/>
      <w:divBdr>
        <w:top w:val="none" w:sz="0" w:space="0" w:color="auto"/>
        <w:left w:val="none" w:sz="0" w:space="0" w:color="auto"/>
        <w:bottom w:val="none" w:sz="0" w:space="0" w:color="auto"/>
        <w:right w:val="none" w:sz="0" w:space="0" w:color="auto"/>
      </w:divBdr>
    </w:div>
    <w:div w:id="963775317">
      <w:bodyDiv w:val="1"/>
      <w:marLeft w:val="0"/>
      <w:marRight w:val="0"/>
      <w:marTop w:val="0"/>
      <w:marBottom w:val="0"/>
      <w:divBdr>
        <w:top w:val="none" w:sz="0" w:space="0" w:color="auto"/>
        <w:left w:val="none" w:sz="0" w:space="0" w:color="auto"/>
        <w:bottom w:val="none" w:sz="0" w:space="0" w:color="auto"/>
        <w:right w:val="none" w:sz="0" w:space="0" w:color="auto"/>
      </w:divBdr>
    </w:div>
    <w:div w:id="964316208">
      <w:bodyDiv w:val="1"/>
      <w:marLeft w:val="0"/>
      <w:marRight w:val="0"/>
      <w:marTop w:val="0"/>
      <w:marBottom w:val="0"/>
      <w:divBdr>
        <w:top w:val="none" w:sz="0" w:space="0" w:color="auto"/>
        <w:left w:val="none" w:sz="0" w:space="0" w:color="auto"/>
        <w:bottom w:val="none" w:sz="0" w:space="0" w:color="auto"/>
        <w:right w:val="none" w:sz="0" w:space="0" w:color="auto"/>
      </w:divBdr>
    </w:div>
    <w:div w:id="966853403">
      <w:bodyDiv w:val="1"/>
      <w:marLeft w:val="0"/>
      <w:marRight w:val="0"/>
      <w:marTop w:val="0"/>
      <w:marBottom w:val="0"/>
      <w:divBdr>
        <w:top w:val="none" w:sz="0" w:space="0" w:color="auto"/>
        <w:left w:val="none" w:sz="0" w:space="0" w:color="auto"/>
        <w:bottom w:val="none" w:sz="0" w:space="0" w:color="auto"/>
        <w:right w:val="none" w:sz="0" w:space="0" w:color="auto"/>
      </w:divBdr>
    </w:div>
    <w:div w:id="970747063">
      <w:bodyDiv w:val="1"/>
      <w:marLeft w:val="0"/>
      <w:marRight w:val="0"/>
      <w:marTop w:val="0"/>
      <w:marBottom w:val="0"/>
      <w:divBdr>
        <w:top w:val="none" w:sz="0" w:space="0" w:color="auto"/>
        <w:left w:val="none" w:sz="0" w:space="0" w:color="auto"/>
        <w:bottom w:val="none" w:sz="0" w:space="0" w:color="auto"/>
        <w:right w:val="none" w:sz="0" w:space="0" w:color="auto"/>
      </w:divBdr>
    </w:div>
    <w:div w:id="982658540">
      <w:bodyDiv w:val="1"/>
      <w:marLeft w:val="0"/>
      <w:marRight w:val="0"/>
      <w:marTop w:val="0"/>
      <w:marBottom w:val="0"/>
      <w:divBdr>
        <w:top w:val="none" w:sz="0" w:space="0" w:color="auto"/>
        <w:left w:val="none" w:sz="0" w:space="0" w:color="auto"/>
        <w:bottom w:val="none" w:sz="0" w:space="0" w:color="auto"/>
        <w:right w:val="none" w:sz="0" w:space="0" w:color="auto"/>
      </w:divBdr>
    </w:div>
    <w:div w:id="987975317">
      <w:bodyDiv w:val="1"/>
      <w:marLeft w:val="0"/>
      <w:marRight w:val="0"/>
      <w:marTop w:val="0"/>
      <w:marBottom w:val="0"/>
      <w:divBdr>
        <w:top w:val="none" w:sz="0" w:space="0" w:color="auto"/>
        <w:left w:val="none" w:sz="0" w:space="0" w:color="auto"/>
        <w:bottom w:val="none" w:sz="0" w:space="0" w:color="auto"/>
        <w:right w:val="none" w:sz="0" w:space="0" w:color="auto"/>
      </w:divBdr>
    </w:div>
    <w:div w:id="991326076">
      <w:bodyDiv w:val="1"/>
      <w:marLeft w:val="0"/>
      <w:marRight w:val="0"/>
      <w:marTop w:val="0"/>
      <w:marBottom w:val="0"/>
      <w:divBdr>
        <w:top w:val="none" w:sz="0" w:space="0" w:color="auto"/>
        <w:left w:val="none" w:sz="0" w:space="0" w:color="auto"/>
        <w:bottom w:val="none" w:sz="0" w:space="0" w:color="auto"/>
        <w:right w:val="none" w:sz="0" w:space="0" w:color="auto"/>
      </w:divBdr>
    </w:div>
    <w:div w:id="1005323042">
      <w:bodyDiv w:val="1"/>
      <w:marLeft w:val="0"/>
      <w:marRight w:val="0"/>
      <w:marTop w:val="0"/>
      <w:marBottom w:val="0"/>
      <w:divBdr>
        <w:top w:val="none" w:sz="0" w:space="0" w:color="auto"/>
        <w:left w:val="none" w:sz="0" w:space="0" w:color="auto"/>
        <w:bottom w:val="none" w:sz="0" w:space="0" w:color="auto"/>
        <w:right w:val="none" w:sz="0" w:space="0" w:color="auto"/>
      </w:divBdr>
    </w:div>
    <w:div w:id="1026172183">
      <w:bodyDiv w:val="1"/>
      <w:marLeft w:val="0"/>
      <w:marRight w:val="0"/>
      <w:marTop w:val="0"/>
      <w:marBottom w:val="0"/>
      <w:divBdr>
        <w:top w:val="none" w:sz="0" w:space="0" w:color="auto"/>
        <w:left w:val="none" w:sz="0" w:space="0" w:color="auto"/>
        <w:bottom w:val="none" w:sz="0" w:space="0" w:color="auto"/>
        <w:right w:val="none" w:sz="0" w:space="0" w:color="auto"/>
      </w:divBdr>
    </w:div>
    <w:div w:id="1034963282">
      <w:bodyDiv w:val="1"/>
      <w:marLeft w:val="0"/>
      <w:marRight w:val="0"/>
      <w:marTop w:val="0"/>
      <w:marBottom w:val="0"/>
      <w:divBdr>
        <w:top w:val="none" w:sz="0" w:space="0" w:color="auto"/>
        <w:left w:val="none" w:sz="0" w:space="0" w:color="auto"/>
        <w:bottom w:val="none" w:sz="0" w:space="0" w:color="auto"/>
        <w:right w:val="none" w:sz="0" w:space="0" w:color="auto"/>
      </w:divBdr>
    </w:div>
    <w:div w:id="1050032853">
      <w:bodyDiv w:val="1"/>
      <w:marLeft w:val="0"/>
      <w:marRight w:val="0"/>
      <w:marTop w:val="0"/>
      <w:marBottom w:val="0"/>
      <w:divBdr>
        <w:top w:val="none" w:sz="0" w:space="0" w:color="auto"/>
        <w:left w:val="none" w:sz="0" w:space="0" w:color="auto"/>
        <w:bottom w:val="none" w:sz="0" w:space="0" w:color="auto"/>
        <w:right w:val="none" w:sz="0" w:space="0" w:color="auto"/>
      </w:divBdr>
    </w:div>
    <w:div w:id="1074931455">
      <w:bodyDiv w:val="1"/>
      <w:marLeft w:val="0"/>
      <w:marRight w:val="0"/>
      <w:marTop w:val="0"/>
      <w:marBottom w:val="0"/>
      <w:divBdr>
        <w:top w:val="none" w:sz="0" w:space="0" w:color="auto"/>
        <w:left w:val="none" w:sz="0" w:space="0" w:color="auto"/>
        <w:bottom w:val="none" w:sz="0" w:space="0" w:color="auto"/>
        <w:right w:val="none" w:sz="0" w:space="0" w:color="auto"/>
      </w:divBdr>
    </w:div>
    <w:div w:id="1077939057">
      <w:bodyDiv w:val="1"/>
      <w:marLeft w:val="0"/>
      <w:marRight w:val="0"/>
      <w:marTop w:val="0"/>
      <w:marBottom w:val="0"/>
      <w:divBdr>
        <w:top w:val="none" w:sz="0" w:space="0" w:color="auto"/>
        <w:left w:val="none" w:sz="0" w:space="0" w:color="auto"/>
        <w:bottom w:val="none" w:sz="0" w:space="0" w:color="auto"/>
        <w:right w:val="none" w:sz="0" w:space="0" w:color="auto"/>
      </w:divBdr>
    </w:div>
    <w:div w:id="1093740715">
      <w:bodyDiv w:val="1"/>
      <w:marLeft w:val="0"/>
      <w:marRight w:val="0"/>
      <w:marTop w:val="0"/>
      <w:marBottom w:val="0"/>
      <w:divBdr>
        <w:top w:val="none" w:sz="0" w:space="0" w:color="auto"/>
        <w:left w:val="none" w:sz="0" w:space="0" w:color="auto"/>
        <w:bottom w:val="none" w:sz="0" w:space="0" w:color="auto"/>
        <w:right w:val="none" w:sz="0" w:space="0" w:color="auto"/>
      </w:divBdr>
    </w:div>
    <w:div w:id="1104693758">
      <w:bodyDiv w:val="1"/>
      <w:marLeft w:val="0"/>
      <w:marRight w:val="0"/>
      <w:marTop w:val="0"/>
      <w:marBottom w:val="0"/>
      <w:divBdr>
        <w:top w:val="none" w:sz="0" w:space="0" w:color="auto"/>
        <w:left w:val="none" w:sz="0" w:space="0" w:color="auto"/>
        <w:bottom w:val="none" w:sz="0" w:space="0" w:color="auto"/>
        <w:right w:val="none" w:sz="0" w:space="0" w:color="auto"/>
      </w:divBdr>
    </w:div>
    <w:div w:id="1121877011">
      <w:bodyDiv w:val="1"/>
      <w:marLeft w:val="0"/>
      <w:marRight w:val="0"/>
      <w:marTop w:val="0"/>
      <w:marBottom w:val="0"/>
      <w:divBdr>
        <w:top w:val="none" w:sz="0" w:space="0" w:color="auto"/>
        <w:left w:val="none" w:sz="0" w:space="0" w:color="auto"/>
        <w:bottom w:val="none" w:sz="0" w:space="0" w:color="auto"/>
        <w:right w:val="none" w:sz="0" w:space="0" w:color="auto"/>
      </w:divBdr>
    </w:div>
    <w:div w:id="1135832240">
      <w:bodyDiv w:val="1"/>
      <w:marLeft w:val="0"/>
      <w:marRight w:val="0"/>
      <w:marTop w:val="0"/>
      <w:marBottom w:val="0"/>
      <w:divBdr>
        <w:top w:val="none" w:sz="0" w:space="0" w:color="auto"/>
        <w:left w:val="none" w:sz="0" w:space="0" w:color="auto"/>
        <w:bottom w:val="none" w:sz="0" w:space="0" w:color="auto"/>
        <w:right w:val="none" w:sz="0" w:space="0" w:color="auto"/>
      </w:divBdr>
    </w:div>
    <w:div w:id="1136070852">
      <w:bodyDiv w:val="1"/>
      <w:marLeft w:val="0"/>
      <w:marRight w:val="0"/>
      <w:marTop w:val="0"/>
      <w:marBottom w:val="0"/>
      <w:divBdr>
        <w:top w:val="none" w:sz="0" w:space="0" w:color="auto"/>
        <w:left w:val="none" w:sz="0" w:space="0" w:color="auto"/>
        <w:bottom w:val="none" w:sz="0" w:space="0" w:color="auto"/>
        <w:right w:val="none" w:sz="0" w:space="0" w:color="auto"/>
      </w:divBdr>
    </w:div>
    <w:div w:id="1154418912">
      <w:bodyDiv w:val="1"/>
      <w:marLeft w:val="0"/>
      <w:marRight w:val="0"/>
      <w:marTop w:val="0"/>
      <w:marBottom w:val="0"/>
      <w:divBdr>
        <w:top w:val="none" w:sz="0" w:space="0" w:color="auto"/>
        <w:left w:val="none" w:sz="0" w:space="0" w:color="auto"/>
        <w:bottom w:val="none" w:sz="0" w:space="0" w:color="auto"/>
        <w:right w:val="none" w:sz="0" w:space="0" w:color="auto"/>
      </w:divBdr>
    </w:div>
    <w:div w:id="1169826267">
      <w:bodyDiv w:val="1"/>
      <w:marLeft w:val="0"/>
      <w:marRight w:val="0"/>
      <w:marTop w:val="0"/>
      <w:marBottom w:val="0"/>
      <w:divBdr>
        <w:top w:val="none" w:sz="0" w:space="0" w:color="auto"/>
        <w:left w:val="none" w:sz="0" w:space="0" w:color="auto"/>
        <w:bottom w:val="none" w:sz="0" w:space="0" w:color="auto"/>
        <w:right w:val="none" w:sz="0" w:space="0" w:color="auto"/>
      </w:divBdr>
    </w:div>
    <w:div w:id="1172257317">
      <w:bodyDiv w:val="1"/>
      <w:marLeft w:val="0"/>
      <w:marRight w:val="0"/>
      <w:marTop w:val="0"/>
      <w:marBottom w:val="0"/>
      <w:divBdr>
        <w:top w:val="none" w:sz="0" w:space="0" w:color="auto"/>
        <w:left w:val="none" w:sz="0" w:space="0" w:color="auto"/>
        <w:bottom w:val="none" w:sz="0" w:space="0" w:color="auto"/>
        <w:right w:val="none" w:sz="0" w:space="0" w:color="auto"/>
      </w:divBdr>
    </w:div>
    <w:div w:id="1174296659">
      <w:bodyDiv w:val="1"/>
      <w:marLeft w:val="0"/>
      <w:marRight w:val="0"/>
      <w:marTop w:val="0"/>
      <w:marBottom w:val="0"/>
      <w:divBdr>
        <w:top w:val="none" w:sz="0" w:space="0" w:color="auto"/>
        <w:left w:val="none" w:sz="0" w:space="0" w:color="auto"/>
        <w:bottom w:val="none" w:sz="0" w:space="0" w:color="auto"/>
        <w:right w:val="none" w:sz="0" w:space="0" w:color="auto"/>
      </w:divBdr>
    </w:div>
    <w:div w:id="1177697577">
      <w:bodyDiv w:val="1"/>
      <w:marLeft w:val="0"/>
      <w:marRight w:val="0"/>
      <w:marTop w:val="0"/>
      <w:marBottom w:val="0"/>
      <w:divBdr>
        <w:top w:val="none" w:sz="0" w:space="0" w:color="auto"/>
        <w:left w:val="none" w:sz="0" w:space="0" w:color="auto"/>
        <w:bottom w:val="none" w:sz="0" w:space="0" w:color="auto"/>
        <w:right w:val="none" w:sz="0" w:space="0" w:color="auto"/>
      </w:divBdr>
    </w:div>
    <w:div w:id="1186821991">
      <w:bodyDiv w:val="1"/>
      <w:marLeft w:val="0"/>
      <w:marRight w:val="0"/>
      <w:marTop w:val="0"/>
      <w:marBottom w:val="0"/>
      <w:divBdr>
        <w:top w:val="none" w:sz="0" w:space="0" w:color="auto"/>
        <w:left w:val="none" w:sz="0" w:space="0" w:color="auto"/>
        <w:bottom w:val="none" w:sz="0" w:space="0" w:color="auto"/>
        <w:right w:val="none" w:sz="0" w:space="0" w:color="auto"/>
      </w:divBdr>
    </w:div>
    <w:div w:id="1194921538">
      <w:bodyDiv w:val="1"/>
      <w:marLeft w:val="0"/>
      <w:marRight w:val="0"/>
      <w:marTop w:val="0"/>
      <w:marBottom w:val="0"/>
      <w:divBdr>
        <w:top w:val="none" w:sz="0" w:space="0" w:color="auto"/>
        <w:left w:val="none" w:sz="0" w:space="0" w:color="auto"/>
        <w:bottom w:val="none" w:sz="0" w:space="0" w:color="auto"/>
        <w:right w:val="none" w:sz="0" w:space="0" w:color="auto"/>
      </w:divBdr>
    </w:div>
    <w:div w:id="1202209980">
      <w:bodyDiv w:val="1"/>
      <w:marLeft w:val="0"/>
      <w:marRight w:val="0"/>
      <w:marTop w:val="0"/>
      <w:marBottom w:val="0"/>
      <w:divBdr>
        <w:top w:val="none" w:sz="0" w:space="0" w:color="auto"/>
        <w:left w:val="none" w:sz="0" w:space="0" w:color="auto"/>
        <w:bottom w:val="none" w:sz="0" w:space="0" w:color="auto"/>
        <w:right w:val="none" w:sz="0" w:space="0" w:color="auto"/>
      </w:divBdr>
    </w:div>
    <w:div w:id="1213426089">
      <w:bodyDiv w:val="1"/>
      <w:marLeft w:val="0"/>
      <w:marRight w:val="0"/>
      <w:marTop w:val="0"/>
      <w:marBottom w:val="0"/>
      <w:divBdr>
        <w:top w:val="none" w:sz="0" w:space="0" w:color="auto"/>
        <w:left w:val="none" w:sz="0" w:space="0" w:color="auto"/>
        <w:bottom w:val="none" w:sz="0" w:space="0" w:color="auto"/>
        <w:right w:val="none" w:sz="0" w:space="0" w:color="auto"/>
      </w:divBdr>
    </w:div>
    <w:div w:id="1214191037">
      <w:bodyDiv w:val="1"/>
      <w:marLeft w:val="0"/>
      <w:marRight w:val="0"/>
      <w:marTop w:val="0"/>
      <w:marBottom w:val="0"/>
      <w:divBdr>
        <w:top w:val="none" w:sz="0" w:space="0" w:color="auto"/>
        <w:left w:val="none" w:sz="0" w:space="0" w:color="auto"/>
        <w:bottom w:val="none" w:sz="0" w:space="0" w:color="auto"/>
        <w:right w:val="none" w:sz="0" w:space="0" w:color="auto"/>
      </w:divBdr>
    </w:div>
    <w:div w:id="1228497200">
      <w:bodyDiv w:val="1"/>
      <w:marLeft w:val="0"/>
      <w:marRight w:val="0"/>
      <w:marTop w:val="0"/>
      <w:marBottom w:val="0"/>
      <w:divBdr>
        <w:top w:val="none" w:sz="0" w:space="0" w:color="auto"/>
        <w:left w:val="none" w:sz="0" w:space="0" w:color="auto"/>
        <w:bottom w:val="none" w:sz="0" w:space="0" w:color="auto"/>
        <w:right w:val="none" w:sz="0" w:space="0" w:color="auto"/>
      </w:divBdr>
    </w:div>
    <w:div w:id="1230263346">
      <w:bodyDiv w:val="1"/>
      <w:marLeft w:val="0"/>
      <w:marRight w:val="0"/>
      <w:marTop w:val="0"/>
      <w:marBottom w:val="0"/>
      <w:divBdr>
        <w:top w:val="none" w:sz="0" w:space="0" w:color="auto"/>
        <w:left w:val="none" w:sz="0" w:space="0" w:color="auto"/>
        <w:bottom w:val="none" w:sz="0" w:space="0" w:color="auto"/>
        <w:right w:val="none" w:sz="0" w:space="0" w:color="auto"/>
      </w:divBdr>
    </w:div>
    <w:div w:id="1238133790">
      <w:bodyDiv w:val="1"/>
      <w:marLeft w:val="0"/>
      <w:marRight w:val="0"/>
      <w:marTop w:val="0"/>
      <w:marBottom w:val="0"/>
      <w:divBdr>
        <w:top w:val="none" w:sz="0" w:space="0" w:color="auto"/>
        <w:left w:val="none" w:sz="0" w:space="0" w:color="auto"/>
        <w:bottom w:val="none" w:sz="0" w:space="0" w:color="auto"/>
        <w:right w:val="none" w:sz="0" w:space="0" w:color="auto"/>
      </w:divBdr>
    </w:div>
    <w:div w:id="1243834143">
      <w:bodyDiv w:val="1"/>
      <w:marLeft w:val="0"/>
      <w:marRight w:val="0"/>
      <w:marTop w:val="0"/>
      <w:marBottom w:val="0"/>
      <w:divBdr>
        <w:top w:val="none" w:sz="0" w:space="0" w:color="auto"/>
        <w:left w:val="none" w:sz="0" w:space="0" w:color="auto"/>
        <w:bottom w:val="none" w:sz="0" w:space="0" w:color="auto"/>
        <w:right w:val="none" w:sz="0" w:space="0" w:color="auto"/>
      </w:divBdr>
    </w:div>
    <w:div w:id="1249343482">
      <w:bodyDiv w:val="1"/>
      <w:marLeft w:val="0"/>
      <w:marRight w:val="0"/>
      <w:marTop w:val="0"/>
      <w:marBottom w:val="0"/>
      <w:divBdr>
        <w:top w:val="none" w:sz="0" w:space="0" w:color="auto"/>
        <w:left w:val="none" w:sz="0" w:space="0" w:color="auto"/>
        <w:bottom w:val="none" w:sz="0" w:space="0" w:color="auto"/>
        <w:right w:val="none" w:sz="0" w:space="0" w:color="auto"/>
      </w:divBdr>
    </w:div>
    <w:div w:id="1250695212">
      <w:bodyDiv w:val="1"/>
      <w:marLeft w:val="0"/>
      <w:marRight w:val="0"/>
      <w:marTop w:val="0"/>
      <w:marBottom w:val="0"/>
      <w:divBdr>
        <w:top w:val="none" w:sz="0" w:space="0" w:color="auto"/>
        <w:left w:val="none" w:sz="0" w:space="0" w:color="auto"/>
        <w:bottom w:val="none" w:sz="0" w:space="0" w:color="auto"/>
        <w:right w:val="none" w:sz="0" w:space="0" w:color="auto"/>
      </w:divBdr>
    </w:div>
    <w:div w:id="1257517209">
      <w:bodyDiv w:val="1"/>
      <w:marLeft w:val="0"/>
      <w:marRight w:val="0"/>
      <w:marTop w:val="0"/>
      <w:marBottom w:val="0"/>
      <w:divBdr>
        <w:top w:val="none" w:sz="0" w:space="0" w:color="auto"/>
        <w:left w:val="none" w:sz="0" w:space="0" w:color="auto"/>
        <w:bottom w:val="none" w:sz="0" w:space="0" w:color="auto"/>
        <w:right w:val="none" w:sz="0" w:space="0" w:color="auto"/>
      </w:divBdr>
    </w:div>
    <w:div w:id="1273364973">
      <w:bodyDiv w:val="1"/>
      <w:marLeft w:val="0"/>
      <w:marRight w:val="0"/>
      <w:marTop w:val="0"/>
      <w:marBottom w:val="0"/>
      <w:divBdr>
        <w:top w:val="none" w:sz="0" w:space="0" w:color="auto"/>
        <w:left w:val="none" w:sz="0" w:space="0" w:color="auto"/>
        <w:bottom w:val="none" w:sz="0" w:space="0" w:color="auto"/>
        <w:right w:val="none" w:sz="0" w:space="0" w:color="auto"/>
      </w:divBdr>
    </w:div>
    <w:div w:id="1274485463">
      <w:bodyDiv w:val="1"/>
      <w:marLeft w:val="0"/>
      <w:marRight w:val="0"/>
      <w:marTop w:val="0"/>
      <w:marBottom w:val="0"/>
      <w:divBdr>
        <w:top w:val="none" w:sz="0" w:space="0" w:color="auto"/>
        <w:left w:val="none" w:sz="0" w:space="0" w:color="auto"/>
        <w:bottom w:val="none" w:sz="0" w:space="0" w:color="auto"/>
        <w:right w:val="none" w:sz="0" w:space="0" w:color="auto"/>
      </w:divBdr>
    </w:div>
    <w:div w:id="1294211712">
      <w:bodyDiv w:val="1"/>
      <w:marLeft w:val="0"/>
      <w:marRight w:val="0"/>
      <w:marTop w:val="0"/>
      <w:marBottom w:val="0"/>
      <w:divBdr>
        <w:top w:val="none" w:sz="0" w:space="0" w:color="auto"/>
        <w:left w:val="none" w:sz="0" w:space="0" w:color="auto"/>
        <w:bottom w:val="none" w:sz="0" w:space="0" w:color="auto"/>
        <w:right w:val="none" w:sz="0" w:space="0" w:color="auto"/>
      </w:divBdr>
    </w:div>
    <w:div w:id="1315841961">
      <w:bodyDiv w:val="1"/>
      <w:marLeft w:val="0"/>
      <w:marRight w:val="0"/>
      <w:marTop w:val="0"/>
      <w:marBottom w:val="0"/>
      <w:divBdr>
        <w:top w:val="none" w:sz="0" w:space="0" w:color="auto"/>
        <w:left w:val="none" w:sz="0" w:space="0" w:color="auto"/>
        <w:bottom w:val="none" w:sz="0" w:space="0" w:color="auto"/>
        <w:right w:val="none" w:sz="0" w:space="0" w:color="auto"/>
      </w:divBdr>
    </w:div>
    <w:div w:id="1329138056">
      <w:bodyDiv w:val="1"/>
      <w:marLeft w:val="0"/>
      <w:marRight w:val="0"/>
      <w:marTop w:val="0"/>
      <w:marBottom w:val="0"/>
      <w:divBdr>
        <w:top w:val="none" w:sz="0" w:space="0" w:color="auto"/>
        <w:left w:val="none" w:sz="0" w:space="0" w:color="auto"/>
        <w:bottom w:val="none" w:sz="0" w:space="0" w:color="auto"/>
        <w:right w:val="none" w:sz="0" w:space="0" w:color="auto"/>
      </w:divBdr>
    </w:div>
    <w:div w:id="1333223540">
      <w:bodyDiv w:val="1"/>
      <w:marLeft w:val="0"/>
      <w:marRight w:val="0"/>
      <w:marTop w:val="0"/>
      <w:marBottom w:val="0"/>
      <w:divBdr>
        <w:top w:val="none" w:sz="0" w:space="0" w:color="auto"/>
        <w:left w:val="none" w:sz="0" w:space="0" w:color="auto"/>
        <w:bottom w:val="none" w:sz="0" w:space="0" w:color="auto"/>
        <w:right w:val="none" w:sz="0" w:space="0" w:color="auto"/>
      </w:divBdr>
    </w:div>
    <w:div w:id="1341159261">
      <w:bodyDiv w:val="1"/>
      <w:marLeft w:val="0"/>
      <w:marRight w:val="0"/>
      <w:marTop w:val="0"/>
      <w:marBottom w:val="0"/>
      <w:divBdr>
        <w:top w:val="none" w:sz="0" w:space="0" w:color="auto"/>
        <w:left w:val="none" w:sz="0" w:space="0" w:color="auto"/>
        <w:bottom w:val="none" w:sz="0" w:space="0" w:color="auto"/>
        <w:right w:val="none" w:sz="0" w:space="0" w:color="auto"/>
      </w:divBdr>
    </w:div>
    <w:div w:id="1357317167">
      <w:bodyDiv w:val="1"/>
      <w:marLeft w:val="0"/>
      <w:marRight w:val="0"/>
      <w:marTop w:val="0"/>
      <w:marBottom w:val="0"/>
      <w:divBdr>
        <w:top w:val="none" w:sz="0" w:space="0" w:color="auto"/>
        <w:left w:val="none" w:sz="0" w:space="0" w:color="auto"/>
        <w:bottom w:val="none" w:sz="0" w:space="0" w:color="auto"/>
        <w:right w:val="none" w:sz="0" w:space="0" w:color="auto"/>
      </w:divBdr>
    </w:div>
    <w:div w:id="1372339638">
      <w:bodyDiv w:val="1"/>
      <w:marLeft w:val="0"/>
      <w:marRight w:val="0"/>
      <w:marTop w:val="0"/>
      <w:marBottom w:val="0"/>
      <w:divBdr>
        <w:top w:val="none" w:sz="0" w:space="0" w:color="auto"/>
        <w:left w:val="none" w:sz="0" w:space="0" w:color="auto"/>
        <w:bottom w:val="none" w:sz="0" w:space="0" w:color="auto"/>
        <w:right w:val="none" w:sz="0" w:space="0" w:color="auto"/>
      </w:divBdr>
    </w:div>
    <w:div w:id="1385134755">
      <w:bodyDiv w:val="1"/>
      <w:marLeft w:val="0"/>
      <w:marRight w:val="0"/>
      <w:marTop w:val="0"/>
      <w:marBottom w:val="0"/>
      <w:divBdr>
        <w:top w:val="none" w:sz="0" w:space="0" w:color="auto"/>
        <w:left w:val="none" w:sz="0" w:space="0" w:color="auto"/>
        <w:bottom w:val="none" w:sz="0" w:space="0" w:color="auto"/>
        <w:right w:val="none" w:sz="0" w:space="0" w:color="auto"/>
      </w:divBdr>
    </w:div>
    <w:div w:id="1388215537">
      <w:bodyDiv w:val="1"/>
      <w:marLeft w:val="0"/>
      <w:marRight w:val="0"/>
      <w:marTop w:val="0"/>
      <w:marBottom w:val="0"/>
      <w:divBdr>
        <w:top w:val="none" w:sz="0" w:space="0" w:color="auto"/>
        <w:left w:val="none" w:sz="0" w:space="0" w:color="auto"/>
        <w:bottom w:val="none" w:sz="0" w:space="0" w:color="auto"/>
        <w:right w:val="none" w:sz="0" w:space="0" w:color="auto"/>
      </w:divBdr>
    </w:div>
    <w:div w:id="1389496858">
      <w:bodyDiv w:val="1"/>
      <w:marLeft w:val="0"/>
      <w:marRight w:val="0"/>
      <w:marTop w:val="0"/>
      <w:marBottom w:val="0"/>
      <w:divBdr>
        <w:top w:val="none" w:sz="0" w:space="0" w:color="auto"/>
        <w:left w:val="none" w:sz="0" w:space="0" w:color="auto"/>
        <w:bottom w:val="none" w:sz="0" w:space="0" w:color="auto"/>
        <w:right w:val="none" w:sz="0" w:space="0" w:color="auto"/>
      </w:divBdr>
    </w:div>
    <w:div w:id="1390227139">
      <w:bodyDiv w:val="1"/>
      <w:marLeft w:val="0"/>
      <w:marRight w:val="0"/>
      <w:marTop w:val="0"/>
      <w:marBottom w:val="0"/>
      <w:divBdr>
        <w:top w:val="none" w:sz="0" w:space="0" w:color="auto"/>
        <w:left w:val="none" w:sz="0" w:space="0" w:color="auto"/>
        <w:bottom w:val="none" w:sz="0" w:space="0" w:color="auto"/>
        <w:right w:val="none" w:sz="0" w:space="0" w:color="auto"/>
      </w:divBdr>
    </w:div>
    <w:div w:id="1391030366">
      <w:bodyDiv w:val="1"/>
      <w:marLeft w:val="0"/>
      <w:marRight w:val="0"/>
      <w:marTop w:val="0"/>
      <w:marBottom w:val="0"/>
      <w:divBdr>
        <w:top w:val="none" w:sz="0" w:space="0" w:color="auto"/>
        <w:left w:val="none" w:sz="0" w:space="0" w:color="auto"/>
        <w:bottom w:val="none" w:sz="0" w:space="0" w:color="auto"/>
        <w:right w:val="none" w:sz="0" w:space="0" w:color="auto"/>
      </w:divBdr>
    </w:div>
    <w:div w:id="1398550709">
      <w:bodyDiv w:val="1"/>
      <w:marLeft w:val="0"/>
      <w:marRight w:val="0"/>
      <w:marTop w:val="0"/>
      <w:marBottom w:val="0"/>
      <w:divBdr>
        <w:top w:val="none" w:sz="0" w:space="0" w:color="auto"/>
        <w:left w:val="none" w:sz="0" w:space="0" w:color="auto"/>
        <w:bottom w:val="none" w:sz="0" w:space="0" w:color="auto"/>
        <w:right w:val="none" w:sz="0" w:space="0" w:color="auto"/>
      </w:divBdr>
    </w:div>
    <w:div w:id="1407996308">
      <w:bodyDiv w:val="1"/>
      <w:marLeft w:val="0"/>
      <w:marRight w:val="0"/>
      <w:marTop w:val="0"/>
      <w:marBottom w:val="0"/>
      <w:divBdr>
        <w:top w:val="none" w:sz="0" w:space="0" w:color="auto"/>
        <w:left w:val="none" w:sz="0" w:space="0" w:color="auto"/>
        <w:bottom w:val="none" w:sz="0" w:space="0" w:color="auto"/>
        <w:right w:val="none" w:sz="0" w:space="0" w:color="auto"/>
      </w:divBdr>
    </w:div>
    <w:div w:id="1412511211">
      <w:bodyDiv w:val="1"/>
      <w:marLeft w:val="0"/>
      <w:marRight w:val="0"/>
      <w:marTop w:val="0"/>
      <w:marBottom w:val="0"/>
      <w:divBdr>
        <w:top w:val="none" w:sz="0" w:space="0" w:color="auto"/>
        <w:left w:val="none" w:sz="0" w:space="0" w:color="auto"/>
        <w:bottom w:val="none" w:sz="0" w:space="0" w:color="auto"/>
        <w:right w:val="none" w:sz="0" w:space="0" w:color="auto"/>
      </w:divBdr>
    </w:div>
    <w:div w:id="1423986236">
      <w:bodyDiv w:val="1"/>
      <w:marLeft w:val="0"/>
      <w:marRight w:val="0"/>
      <w:marTop w:val="0"/>
      <w:marBottom w:val="0"/>
      <w:divBdr>
        <w:top w:val="none" w:sz="0" w:space="0" w:color="auto"/>
        <w:left w:val="none" w:sz="0" w:space="0" w:color="auto"/>
        <w:bottom w:val="none" w:sz="0" w:space="0" w:color="auto"/>
        <w:right w:val="none" w:sz="0" w:space="0" w:color="auto"/>
      </w:divBdr>
    </w:div>
    <w:div w:id="1431468349">
      <w:bodyDiv w:val="1"/>
      <w:marLeft w:val="0"/>
      <w:marRight w:val="0"/>
      <w:marTop w:val="0"/>
      <w:marBottom w:val="0"/>
      <w:divBdr>
        <w:top w:val="none" w:sz="0" w:space="0" w:color="auto"/>
        <w:left w:val="none" w:sz="0" w:space="0" w:color="auto"/>
        <w:bottom w:val="none" w:sz="0" w:space="0" w:color="auto"/>
        <w:right w:val="none" w:sz="0" w:space="0" w:color="auto"/>
      </w:divBdr>
    </w:div>
    <w:div w:id="1438597514">
      <w:bodyDiv w:val="1"/>
      <w:marLeft w:val="0"/>
      <w:marRight w:val="0"/>
      <w:marTop w:val="0"/>
      <w:marBottom w:val="0"/>
      <w:divBdr>
        <w:top w:val="none" w:sz="0" w:space="0" w:color="auto"/>
        <w:left w:val="none" w:sz="0" w:space="0" w:color="auto"/>
        <w:bottom w:val="none" w:sz="0" w:space="0" w:color="auto"/>
        <w:right w:val="none" w:sz="0" w:space="0" w:color="auto"/>
      </w:divBdr>
    </w:div>
    <w:div w:id="1439717395">
      <w:bodyDiv w:val="1"/>
      <w:marLeft w:val="0"/>
      <w:marRight w:val="0"/>
      <w:marTop w:val="0"/>
      <w:marBottom w:val="0"/>
      <w:divBdr>
        <w:top w:val="none" w:sz="0" w:space="0" w:color="auto"/>
        <w:left w:val="none" w:sz="0" w:space="0" w:color="auto"/>
        <w:bottom w:val="none" w:sz="0" w:space="0" w:color="auto"/>
        <w:right w:val="none" w:sz="0" w:space="0" w:color="auto"/>
      </w:divBdr>
    </w:div>
    <w:div w:id="1441098191">
      <w:bodyDiv w:val="1"/>
      <w:marLeft w:val="0"/>
      <w:marRight w:val="0"/>
      <w:marTop w:val="0"/>
      <w:marBottom w:val="0"/>
      <w:divBdr>
        <w:top w:val="none" w:sz="0" w:space="0" w:color="auto"/>
        <w:left w:val="none" w:sz="0" w:space="0" w:color="auto"/>
        <w:bottom w:val="none" w:sz="0" w:space="0" w:color="auto"/>
        <w:right w:val="none" w:sz="0" w:space="0" w:color="auto"/>
      </w:divBdr>
    </w:div>
    <w:div w:id="1444227328">
      <w:bodyDiv w:val="1"/>
      <w:marLeft w:val="0"/>
      <w:marRight w:val="0"/>
      <w:marTop w:val="0"/>
      <w:marBottom w:val="0"/>
      <w:divBdr>
        <w:top w:val="none" w:sz="0" w:space="0" w:color="auto"/>
        <w:left w:val="none" w:sz="0" w:space="0" w:color="auto"/>
        <w:bottom w:val="none" w:sz="0" w:space="0" w:color="auto"/>
        <w:right w:val="none" w:sz="0" w:space="0" w:color="auto"/>
      </w:divBdr>
    </w:div>
    <w:div w:id="1446076758">
      <w:bodyDiv w:val="1"/>
      <w:marLeft w:val="0"/>
      <w:marRight w:val="0"/>
      <w:marTop w:val="0"/>
      <w:marBottom w:val="0"/>
      <w:divBdr>
        <w:top w:val="none" w:sz="0" w:space="0" w:color="auto"/>
        <w:left w:val="none" w:sz="0" w:space="0" w:color="auto"/>
        <w:bottom w:val="none" w:sz="0" w:space="0" w:color="auto"/>
        <w:right w:val="none" w:sz="0" w:space="0" w:color="auto"/>
      </w:divBdr>
    </w:div>
    <w:div w:id="1449276600">
      <w:bodyDiv w:val="1"/>
      <w:marLeft w:val="0"/>
      <w:marRight w:val="0"/>
      <w:marTop w:val="0"/>
      <w:marBottom w:val="0"/>
      <w:divBdr>
        <w:top w:val="none" w:sz="0" w:space="0" w:color="auto"/>
        <w:left w:val="none" w:sz="0" w:space="0" w:color="auto"/>
        <w:bottom w:val="none" w:sz="0" w:space="0" w:color="auto"/>
        <w:right w:val="none" w:sz="0" w:space="0" w:color="auto"/>
      </w:divBdr>
    </w:div>
    <w:div w:id="1455709419">
      <w:bodyDiv w:val="1"/>
      <w:marLeft w:val="0"/>
      <w:marRight w:val="0"/>
      <w:marTop w:val="0"/>
      <w:marBottom w:val="0"/>
      <w:divBdr>
        <w:top w:val="none" w:sz="0" w:space="0" w:color="auto"/>
        <w:left w:val="none" w:sz="0" w:space="0" w:color="auto"/>
        <w:bottom w:val="none" w:sz="0" w:space="0" w:color="auto"/>
        <w:right w:val="none" w:sz="0" w:space="0" w:color="auto"/>
      </w:divBdr>
    </w:div>
    <w:div w:id="1462721561">
      <w:bodyDiv w:val="1"/>
      <w:marLeft w:val="0"/>
      <w:marRight w:val="0"/>
      <w:marTop w:val="0"/>
      <w:marBottom w:val="0"/>
      <w:divBdr>
        <w:top w:val="none" w:sz="0" w:space="0" w:color="auto"/>
        <w:left w:val="none" w:sz="0" w:space="0" w:color="auto"/>
        <w:bottom w:val="none" w:sz="0" w:space="0" w:color="auto"/>
        <w:right w:val="none" w:sz="0" w:space="0" w:color="auto"/>
      </w:divBdr>
    </w:div>
    <w:div w:id="1472746036">
      <w:bodyDiv w:val="1"/>
      <w:marLeft w:val="0"/>
      <w:marRight w:val="0"/>
      <w:marTop w:val="0"/>
      <w:marBottom w:val="0"/>
      <w:divBdr>
        <w:top w:val="none" w:sz="0" w:space="0" w:color="auto"/>
        <w:left w:val="none" w:sz="0" w:space="0" w:color="auto"/>
        <w:bottom w:val="none" w:sz="0" w:space="0" w:color="auto"/>
        <w:right w:val="none" w:sz="0" w:space="0" w:color="auto"/>
      </w:divBdr>
    </w:div>
    <w:div w:id="1479106582">
      <w:bodyDiv w:val="1"/>
      <w:marLeft w:val="0"/>
      <w:marRight w:val="0"/>
      <w:marTop w:val="0"/>
      <w:marBottom w:val="0"/>
      <w:divBdr>
        <w:top w:val="none" w:sz="0" w:space="0" w:color="auto"/>
        <w:left w:val="none" w:sz="0" w:space="0" w:color="auto"/>
        <w:bottom w:val="none" w:sz="0" w:space="0" w:color="auto"/>
        <w:right w:val="none" w:sz="0" w:space="0" w:color="auto"/>
      </w:divBdr>
    </w:div>
    <w:div w:id="1480806487">
      <w:bodyDiv w:val="1"/>
      <w:marLeft w:val="0"/>
      <w:marRight w:val="0"/>
      <w:marTop w:val="0"/>
      <w:marBottom w:val="0"/>
      <w:divBdr>
        <w:top w:val="none" w:sz="0" w:space="0" w:color="auto"/>
        <w:left w:val="none" w:sz="0" w:space="0" w:color="auto"/>
        <w:bottom w:val="none" w:sz="0" w:space="0" w:color="auto"/>
        <w:right w:val="none" w:sz="0" w:space="0" w:color="auto"/>
      </w:divBdr>
    </w:div>
    <w:div w:id="1492335227">
      <w:bodyDiv w:val="1"/>
      <w:marLeft w:val="0"/>
      <w:marRight w:val="0"/>
      <w:marTop w:val="0"/>
      <w:marBottom w:val="0"/>
      <w:divBdr>
        <w:top w:val="none" w:sz="0" w:space="0" w:color="auto"/>
        <w:left w:val="none" w:sz="0" w:space="0" w:color="auto"/>
        <w:bottom w:val="none" w:sz="0" w:space="0" w:color="auto"/>
        <w:right w:val="none" w:sz="0" w:space="0" w:color="auto"/>
      </w:divBdr>
    </w:div>
    <w:div w:id="1502620542">
      <w:bodyDiv w:val="1"/>
      <w:marLeft w:val="0"/>
      <w:marRight w:val="0"/>
      <w:marTop w:val="0"/>
      <w:marBottom w:val="0"/>
      <w:divBdr>
        <w:top w:val="none" w:sz="0" w:space="0" w:color="auto"/>
        <w:left w:val="none" w:sz="0" w:space="0" w:color="auto"/>
        <w:bottom w:val="none" w:sz="0" w:space="0" w:color="auto"/>
        <w:right w:val="none" w:sz="0" w:space="0" w:color="auto"/>
      </w:divBdr>
    </w:div>
    <w:div w:id="1503818890">
      <w:bodyDiv w:val="1"/>
      <w:marLeft w:val="0"/>
      <w:marRight w:val="0"/>
      <w:marTop w:val="0"/>
      <w:marBottom w:val="0"/>
      <w:divBdr>
        <w:top w:val="none" w:sz="0" w:space="0" w:color="auto"/>
        <w:left w:val="none" w:sz="0" w:space="0" w:color="auto"/>
        <w:bottom w:val="none" w:sz="0" w:space="0" w:color="auto"/>
        <w:right w:val="none" w:sz="0" w:space="0" w:color="auto"/>
      </w:divBdr>
      <w:divsChild>
        <w:div w:id="62223057">
          <w:marLeft w:val="547"/>
          <w:marRight w:val="0"/>
          <w:marTop w:val="0"/>
          <w:marBottom w:val="0"/>
          <w:divBdr>
            <w:top w:val="none" w:sz="0" w:space="0" w:color="auto"/>
            <w:left w:val="none" w:sz="0" w:space="0" w:color="auto"/>
            <w:bottom w:val="none" w:sz="0" w:space="0" w:color="auto"/>
            <w:right w:val="none" w:sz="0" w:space="0" w:color="auto"/>
          </w:divBdr>
        </w:div>
      </w:divsChild>
    </w:div>
    <w:div w:id="1513177399">
      <w:bodyDiv w:val="1"/>
      <w:marLeft w:val="0"/>
      <w:marRight w:val="0"/>
      <w:marTop w:val="0"/>
      <w:marBottom w:val="0"/>
      <w:divBdr>
        <w:top w:val="none" w:sz="0" w:space="0" w:color="auto"/>
        <w:left w:val="none" w:sz="0" w:space="0" w:color="auto"/>
        <w:bottom w:val="none" w:sz="0" w:space="0" w:color="auto"/>
        <w:right w:val="none" w:sz="0" w:space="0" w:color="auto"/>
      </w:divBdr>
    </w:div>
    <w:div w:id="1525170457">
      <w:bodyDiv w:val="1"/>
      <w:marLeft w:val="0"/>
      <w:marRight w:val="0"/>
      <w:marTop w:val="0"/>
      <w:marBottom w:val="0"/>
      <w:divBdr>
        <w:top w:val="none" w:sz="0" w:space="0" w:color="auto"/>
        <w:left w:val="none" w:sz="0" w:space="0" w:color="auto"/>
        <w:bottom w:val="none" w:sz="0" w:space="0" w:color="auto"/>
        <w:right w:val="none" w:sz="0" w:space="0" w:color="auto"/>
      </w:divBdr>
    </w:div>
    <w:div w:id="1527870434">
      <w:bodyDiv w:val="1"/>
      <w:marLeft w:val="0"/>
      <w:marRight w:val="0"/>
      <w:marTop w:val="0"/>
      <w:marBottom w:val="0"/>
      <w:divBdr>
        <w:top w:val="none" w:sz="0" w:space="0" w:color="auto"/>
        <w:left w:val="none" w:sz="0" w:space="0" w:color="auto"/>
        <w:bottom w:val="none" w:sz="0" w:space="0" w:color="auto"/>
        <w:right w:val="none" w:sz="0" w:space="0" w:color="auto"/>
      </w:divBdr>
    </w:div>
    <w:div w:id="1528249372">
      <w:bodyDiv w:val="1"/>
      <w:marLeft w:val="0"/>
      <w:marRight w:val="0"/>
      <w:marTop w:val="0"/>
      <w:marBottom w:val="0"/>
      <w:divBdr>
        <w:top w:val="none" w:sz="0" w:space="0" w:color="auto"/>
        <w:left w:val="none" w:sz="0" w:space="0" w:color="auto"/>
        <w:bottom w:val="none" w:sz="0" w:space="0" w:color="auto"/>
        <w:right w:val="none" w:sz="0" w:space="0" w:color="auto"/>
      </w:divBdr>
    </w:div>
    <w:div w:id="1536845369">
      <w:bodyDiv w:val="1"/>
      <w:marLeft w:val="0"/>
      <w:marRight w:val="0"/>
      <w:marTop w:val="0"/>
      <w:marBottom w:val="0"/>
      <w:divBdr>
        <w:top w:val="none" w:sz="0" w:space="0" w:color="auto"/>
        <w:left w:val="none" w:sz="0" w:space="0" w:color="auto"/>
        <w:bottom w:val="none" w:sz="0" w:space="0" w:color="auto"/>
        <w:right w:val="none" w:sz="0" w:space="0" w:color="auto"/>
      </w:divBdr>
    </w:div>
    <w:div w:id="1557548415">
      <w:bodyDiv w:val="1"/>
      <w:marLeft w:val="0"/>
      <w:marRight w:val="0"/>
      <w:marTop w:val="0"/>
      <w:marBottom w:val="0"/>
      <w:divBdr>
        <w:top w:val="none" w:sz="0" w:space="0" w:color="auto"/>
        <w:left w:val="none" w:sz="0" w:space="0" w:color="auto"/>
        <w:bottom w:val="none" w:sz="0" w:space="0" w:color="auto"/>
        <w:right w:val="none" w:sz="0" w:space="0" w:color="auto"/>
      </w:divBdr>
    </w:div>
    <w:div w:id="1559241426">
      <w:bodyDiv w:val="1"/>
      <w:marLeft w:val="0"/>
      <w:marRight w:val="0"/>
      <w:marTop w:val="0"/>
      <w:marBottom w:val="0"/>
      <w:divBdr>
        <w:top w:val="none" w:sz="0" w:space="0" w:color="auto"/>
        <w:left w:val="none" w:sz="0" w:space="0" w:color="auto"/>
        <w:bottom w:val="none" w:sz="0" w:space="0" w:color="auto"/>
        <w:right w:val="none" w:sz="0" w:space="0" w:color="auto"/>
      </w:divBdr>
    </w:div>
    <w:div w:id="1574003141">
      <w:bodyDiv w:val="1"/>
      <w:marLeft w:val="0"/>
      <w:marRight w:val="0"/>
      <w:marTop w:val="0"/>
      <w:marBottom w:val="0"/>
      <w:divBdr>
        <w:top w:val="none" w:sz="0" w:space="0" w:color="auto"/>
        <w:left w:val="none" w:sz="0" w:space="0" w:color="auto"/>
        <w:bottom w:val="none" w:sz="0" w:space="0" w:color="auto"/>
        <w:right w:val="none" w:sz="0" w:space="0" w:color="auto"/>
      </w:divBdr>
    </w:div>
    <w:div w:id="1578125916">
      <w:bodyDiv w:val="1"/>
      <w:marLeft w:val="0"/>
      <w:marRight w:val="0"/>
      <w:marTop w:val="0"/>
      <w:marBottom w:val="0"/>
      <w:divBdr>
        <w:top w:val="none" w:sz="0" w:space="0" w:color="auto"/>
        <w:left w:val="none" w:sz="0" w:space="0" w:color="auto"/>
        <w:bottom w:val="none" w:sz="0" w:space="0" w:color="auto"/>
        <w:right w:val="none" w:sz="0" w:space="0" w:color="auto"/>
      </w:divBdr>
    </w:div>
    <w:div w:id="1578632591">
      <w:bodyDiv w:val="1"/>
      <w:marLeft w:val="0"/>
      <w:marRight w:val="0"/>
      <w:marTop w:val="0"/>
      <w:marBottom w:val="0"/>
      <w:divBdr>
        <w:top w:val="none" w:sz="0" w:space="0" w:color="auto"/>
        <w:left w:val="none" w:sz="0" w:space="0" w:color="auto"/>
        <w:bottom w:val="none" w:sz="0" w:space="0" w:color="auto"/>
        <w:right w:val="none" w:sz="0" w:space="0" w:color="auto"/>
      </w:divBdr>
    </w:div>
    <w:div w:id="1590694355">
      <w:bodyDiv w:val="1"/>
      <w:marLeft w:val="0"/>
      <w:marRight w:val="0"/>
      <w:marTop w:val="0"/>
      <w:marBottom w:val="0"/>
      <w:divBdr>
        <w:top w:val="none" w:sz="0" w:space="0" w:color="auto"/>
        <w:left w:val="none" w:sz="0" w:space="0" w:color="auto"/>
        <w:bottom w:val="none" w:sz="0" w:space="0" w:color="auto"/>
        <w:right w:val="none" w:sz="0" w:space="0" w:color="auto"/>
      </w:divBdr>
    </w:div>
    <w:div w:id="1599674327">
      <w:bodyDiv w:val="1"/>
      <w:marLeft w:val="0"/>
      <w:marRight w:val="0"/>
      <w:marTop w:val="0"/>
      <w:marBottom w:val="0"/>
      <w:divBdr>
        <w:top w:val="none" w:sz="0" w:space="0" w:color="auto"/>
        <w:left w:val="none" w:sz="0" w:space="0" w:color="auto"/>
        <w:bottom w:val="none" w:sz="0" w:space="0" w:color="auto"/>
        <w:right w:val="none" w:sz="0" w:space="0" w:color="auto"/>
      </w:divBdr>
    </w:div>
    <w:div w:id="1600524046">
      <w:bodyDiv w:val="1"/>
      <w:marLeft w:val="0"/>
      <w:marRight w:val="0"/>
      <w:marTop w:val="0"/>
      <w:marBottom w:val="0"/>
      <w:divBdr>
        <w:top w:val="none" w:sz="0" w:space="0" w:color="auto"/>
        <w:left w:val="none" w:sz="0" w:space="0" w:color="auto"/>
        <w:bottom w:val="none" w:sz="0" w:space="0" w:color="auto"/>
        <w:right w:val="none" w:sz="0" w:space="0" w:color="auto"/>
      </w:divBdr>
    </w:div>
    <w:div w:id="1604337079">
      <w:bodyDiv w:val="1"/>
      <w:marLeft w:val="0"/>
      <w:marRight w:val="0"/>
      <w:marTop w:val="0"/>
      <w:marBottom w:val="0"/>
      <w:divBdr>
        <w:top w:val="none" w:sz="0" w:space="0" w:color="auto"/>
        <w:left w:val="none" w:sz="0" w:space="0" w:color="auto"/>
        <w:bottom w:val="none" w:sz="0" w:space="0" w:color="auto"/>
        <w:right w:val="none" w:sz="0" w:space="0" w:color="auto"/>
      </w:divBdr>
    </w:div>
    <w:div w:id="1615941789">
      <w:bodyDiv w:val="1"/>
      <w:marLeft w:val="0"/>
      <w:marRight w:val="0"/>
      <w:marTop w:val="0"/>
      <w:marBottom w:val="0"/>
      <w:divBdr>
        <w:top w:val="none" w:sz="0" w:space="0" w:color="auto"/>
        <w:left w:val="none" w:sz="0" w:space="0" w:color="auto"/>
        <w:bottom w:val="none" w:sz="0" w:space="0" w:color="auto"/>
        <w:right w:val="none" w:sz="0" w:space="0" w:color="auto"/>
      </w:divBdr>
    </w:div>
    <w:div w:id="1632327364">
      <w:bodyDiv w:val="1"/>
      <w:marLeft w:val="0"/>
      <w:marRight w:val="0"/>
      <w:marTop w:val="0"/>
      <w:marBottom w:val="0"/>
      <w:divBdr>
        <w:top w:val="none" w:sz="0" w:space="0" w:color="auto"/>
        <w:left w:val="none" w:sz="0" w:space="0" w:color="auto"/>
        <w:bottom w:val="none" w:sz="0" w:space="0" w:color="auto"/>
        <w:right w:val="none" w:sz="0" w:space="0" w:color="auto"/>
      </w:divBdr>
    </w:div>
    <w:div w:id="1633562003">
      <w:bodyDiv w:val="1"/>
      <w:marLeft w:val="0"/>
      <w:marRight w:val="0"/>
      <w:marTop w:val="0"/>
      <w:marBottom w:val="0"/>
      <w:divBdr>
        <w:top w:val="none" w:sz="0" w:space="0" w:color="auto"/>
        <w:left w:val="none" w:sz="0" w:space="0" w:color="auto"/>
        <w:bottom w:val="none" w:sz="0" w:space="0" w:color="auto"/>
        <w:right w:val="none" w:sz="0" w:space="0" w:color="auto"/>
      </w:divBdr>
    </w:div>
    <w:div w:id="1639528073">
      <w:bodyDiv w:val="1"/>
      <w:marLeft w:val="0"/>
      <w:marRight w:val="0"/>
      <w:marTop w:val="0"/>
      <w:marBottom w:val="0"/>
      <w:divBdr>
        <w:top w:val="none" w:sz="0" w:space="0" w:color="auto"/>
        <w:left w:val="none" w:sz="0" w:space="0" w:color="auto"/>
        <w:bottom w:val="none" w:sz="0" w:space="0" w:color="auto"/>
        <w:right w:val="none" w:sz="0" w:space="0" w:color="auto"/>
      </w:divBdr>
    </w:div>
    <w:div w:id="1641306778">
      <w:bodyDiv w:val="1"/>
      <w:marLeft w:val="0"/>
      <w:marRight w:val="0"/>
      <w:marTop w:val="0"/>
      <w:marBottom w:val="0"/>
      <w:divBdr>
        <w:top w:val="none" w:sz="0" w:space="0" w:color="auto"/>
        <w:left w:val="none" w:sz="0" w:space="0" w:color="auto"/>
        <w:bottom w:val="none" w:sz="0" w:space="0" w:color="auto"/>
        <w:right w:val="none" w:sz="0" w:space="0" w:color="auto"/>
      </w:divBdr>
    </w:div>
    <w:div w:id="1642032440">
      <w:bodyDiv w:val="1"/>
      <w:marLeft w:val="0"/>
      <w:marRight w:val="0"/>
      <w:marTop w:val="0"/>
      <w:marBottom w:val="0"/>
      <w:divBdr>
        <w:top w:val="none" w:sz="0" w:space="0" w:color="auto"/>
        <w:left w:val="none" w:sz="0" w:space="0" w:color="auto"/>
        <w:bottom w:val="none" w:sz="0" w:space="0" w:color="auto"/>
        <w:right w:val="none" w:sz="0" w:space="0" w:color="auto"/>
      </w:divBdr>
    </w:div>
    <w:div w:id="1651204678">
      <w:bodyDiv w:val="1"/>
      <w:marLeft w:val="0"/>
      <w:marRight w:val="0"/>
      <w:marTop w:val="0"/>
      <w:marBottom w:val="0"/>
      <w:divBdr>
        <w:top w:val="none" w:sz="0" w:space="0" w:color="auto"/>
        <w:left w:val="none" w:sz="0" w:space="0" w:color="auto"/>
        <w:bottom w:val="none" w:sz="0" w:space="0" w:color="auto"/>
        <w:right w:val="none" w:sz="0" w:space="0" w:color="auto"/>
      </w:divBdr>
    </w:div>
    <w:div w:id="1652058152">
      <w:bodyDiv w:val="1"/>
      <w:marLeft w:val="0"/>
      <w:marRight w:val="0"/>
      <w:marTop w:val="0"/>
      <w:marBottom w:val="0"/>
      <w:divBdr>
        <w:top w:val="none" w:sz="0" w:space="0" w:color="auto"/>
        <w:left w:val="none" w:sz="0" w:space="0" w:color="auto"/>
        <w:bottom w:val="none" w:sz="0" w:space="0" w:color="auto"/>
        <w:right w:val="none" w:sz="0" w:space="0" w:color="auto"/>
      </w:divBdr>
    </w:div>
    <w:div w:id="1655135027">
      <w:bodyDiv w:val="1"/>
      <w:marLeft w:val="0"/>
      <w:marRight w:val="0"/>
      <w:marTop w:val="0"/>
      <w:marBottom w:val="0"/>
      <w:divBdr>
        <w:top w:val="none" w:sz="0" w:space="0" w:color="auto"/>
        <w:left w:val="none" w:sz="0" w:space="0" w:color="auto"/>
        <w:bottom w:val="none" w:sz="0" w:space="0" w:color="auto"/>
        <w:right w:val="none" w:sz="0" w:space="0" w:color="auto"/>
      </w:divBdr>
    </w:div>
    <w:div w:id="1672415712">
      <w:bodyDiv w:val="1"/>
      <w:marLeft w:val="0"/>
      <w:marRight w:val="0"/>
      <w:marTop w:val="0"/>
      <w:marBottom w:val="0"/>
      <w:divBdr>
        <w:top w:val="none" w:sz="0" w:space="0" w:color="auto"/>
        <w:left w:val="none" w:sz="0" w:space="0" w:color="auto"/>
        <w:bottom w:val="none" w:sz="0" w:space="0" w:color="auto"/>
        <w:right w:val="none" w:sz="0" w:space="0" w:color="auto"/>
      </w:divBdr>
    </w:div>
    <w:div w:id="1680082530">
      <w:bodyDiv w:val="1"/>
      <w:marLeft w:val="0"/>
      <w:marRight w:val="0"/>
      <w:marTop w:val="0"/>
      <w:marBottom w:val="0"/>
      <w:divBdr>
        <w:top w:val="none" w:sz="0" w:space="0" w:color="auto"/>
        <w:left w:val="none" w:sz="0" w:space="0" w:color="auto"/>
        <w:bottom w:val="none" w:sz="0" w:space="0" w:color="auto"/>
        <w:right w:val="none" w:sz="0" w:space="0" w:color="auto"/>
      </w:divBdr>
    </w:div>
    <w:div w:id="1680548081">
      <w:bodyDiv w:val="1"/>
      <w:marLeft w:val="0"/>
      <w:marRight w:val="0"/>
      <w:marTop w:val="0"/>
      <w:marBottom w:val="0"/>
      <w:divBdr>
        <w:top w:val="none" w:sz="0" w:space="0" w:color="auto"/>
        <w:left w:val="none" w:sz="0" w:space="0" w:color="auto"/>
        <w:bottom w:val="none" w:sz="0" w:space="0" w:color="auto"/>
        <w:right w:val="none" w:sz="0" w:space="0" w:color="auto"/>
      </w:divBdr>
    </w:div>
    <w:div w:id="1700155725">
      <w:bodyDiv w:val="1"/>
      <w:marLeft w:val="0"/>
      <w:marRight w:val="0"/>
      <w:marTop w:val="0"/>
      <w:marBottom w:val="0"/>
      <w:divBdr>
        <w:top w:val="none" w:sz="0" w:space="0" w:color="auto"/>
        <w:left w:val="none" w:sz="0" w:space="0" w:color="auto"/>
        <w:bottom w:val="none" w:sz="0" w:space="0" w:color="auto"/>
        <w:right w:val="none" w:sz="0" w:space="0" w:color="auto"/>
      </w:divBdr>
    </w:div>
    <w:div w:id="1702512746">
      <w:bodyDiv w:val="1"/>
      <w:marLeft w:val="0"/>
      <w:marRight w:val="0"/>
      <w:marTop w:val="0"/>
      <w:marBottom w:val="0"/>
      <w:divBdr>
        <w:top w:val="none" w:sz="0" w:space="0" w:color="auto"/>
        <w:left w:val="none" w:sz="0" w:space="0" w:color="auto"/>
        <w:bottom w:val="none" w:sz="0" w:space="0" w:color="auto"/>
        <w:right w:val="none" w:sz="0" w:space="0" w:color="auto"/>
      </w:divBdr>
    </w:div>
    <w:div w:id="1704593176">
      <w:bodyDiv w:val="1"/>
      <w:marLeft w:val="0"/>
      <w:marRight w:val="0"/>
      <w:marTop w:val="0"/>
      <w:marBottom w:val="0"/>
      <w:divBdr>
        <w:top w:val="none" w:sz="0" w:space="0" w:color="auto"/>
        <w:left w:val="none" w:sz="0" w:space="0" w:color="auto"/>
        <w:bottom w:val="none" w:sz="0" w:space="0" w:color="auto"/>
        <w:right w:val="none" w:sz="0" w:space="0" w:color="auto"/>
      </w:divBdr>
    </w:div>
    <w:div w:id="1711370464">
      <w:bodyDiv w:val="1"/>
      <w:marLeft w:val="0"/>
      <w:marRight w:val="0"/>
      <w:marTop w:val="0"/>
      <w:marBottom w:val="0"/>
      <w:divBdr>
        <w:top w:val="none" w:sz="0" w:space="0" w:color="auto"/>
        <w:left w:val="none" w:sz="0" w:space="0" w:color="auto"/>
        <w:bottom w:val="none" w:sz="0" w:space="0" w:color="auto"/>
        <w:right w:val="none" w:sz="0" w:space="0" w:color="auto"/>
      </w:divBdr>
    </w:div>
    <w:div w:id="1723020827">
      <w:bodyDiv w:val="1"/>
      <w:marLeft w:val="0"/>
      <w:marRight w:val="0"/>
      <w:marTop w:val="0"/>
      <w:marBottom w:val="0"/>
      <w:divBdr>
        <w:top w:val="none" w:sz="0" w:space="0" w:color="auto"/>
        <w:left w:val="none" w:sz="0" w:space="0" w:color="auto"/>
        <w:bottom w:val="none" w:sz="0" w:space="0" w:color="auto"/>
        <w:right w:val="none" w:sz="0" w:space="0" w:color="auto"/>
      </w:divBdr>
    </w:div>
    <w:div w:id="1723551996">
      <w:bodyDiv w:val="1"/>
      <w:marLeft w:val="0"/>
      <w:marRight w:val="0"/>
      <w:marTop w:val="0"/>
      <w:marBottom w:val="0"/>
      <w:divBdr>
        <w:top w:val="none" w:sz="0" w:space="0" w:color="auto"/>
        <w:left w:val="none" w:sz="0" w:space="0" w:color="auto"/>
        <w:bottom w:val="none" w:sz="0" w:space="0" w:color="auto"/>
        <w:right w:val="none" w:sz="0" w:space="0" w:color="auto"/>
      </w:divBdr>
    </w:div>
    <w:div w:id="1743332725">
      <w:bodyDiv w:val="1"/>
      <w:marLeft w:val="0"/>
      <w:marRight w:val="0"/>
      <w:marTop w:val="0"/>
      <w:marBottom w:val="0"/>
      <w:divBdr>
        <w:top w:val="none" w:sz="0" w:space="0" w:color="auto"/>
        <w:left w:val="none" w:sz="0" w:space="0" w:color="auto"/>
        <w:bottom w:val="none" w:sz="0" w:space="0" w:color="auto"/>
        <w:right w:val="none" w:sz="0" w:space="0" w:color="auto"/>
      </w:divBdr>
    </w:div>
    <w:div w:id="1753161634">
      <w:bodyDiv w:val="1"/>
      <w:marLeft w:val="0"/>
      <w:marRight w:val="0"/>
      <w:marTop w:val="0"/>
      <w:marBottom w:val="0"/>
      <w:divBdr>
        <w:top w:val="none" w:sz="0" w:space="0" w:color="auto"/>
        <w:left w:val="none" w:sz="0" w:space="0" w:color="auto"/>
        <w:bottom w:val="none" w:sz="0" w:space="0" w:color="auto"/>
        <w:right w:val="none" w:sz="0" w:space="0" w:color="auto"/>
      </w:divBdr>
    </w:div>
    <w:div w:id="1755395808">
      <w:bodyDiv w:val="1"/>
      <w:marLeft w:val="0"/>
      <w:marRight w:val="0"/>
      <w:marTop w:val="0"/>
      <w:marBottom w:val="0"/>
      <w:divBdr>
        <w:top w:val="none" w:sz="0" w:space="0" w:color="auto"/>
        <w:left w:val="none" w:sz="0" w:space="0" w:color="auto"/>
        <w:bottom w:val="none" w:sz="0" w:space="0" w:color="auto"/>
        <w:right w:val="none" w:sz="0" w:space="0" w:color="auto"/>
      </w:divBdr>
    </w:div>
    <w:div w:id="1758087718">
      <w:bodyDiv w:val="1"/>
      <w:marLeft w:val="0"/>
      <w:marRight w:val="0"/>
      <w:marTop w:val="0"/>
      <w:marBottom w:val="0"/>
      <w:divBdr>
        <w:top w:val="none" w:sz="0" w:space="0" w:color="auto"/>
        <w:left w:val="none" w:sz="0" w:space="0" w:color="auto"/>
        <w:bottom w:val="none" w:sz="0" w:space="0" w:color="auto"/>
        <w:right w:val="none" w:sz="0" w:space="0" w:color="auto"/>
      </w:divBdr>
    </w:div>
    <w:div w:id="1763338615">
      <w:bodyDiv w:val="1"/>
      <w:marLeft w:val="0"/>
      <w:marRight w:val="0"/>
      <w:marTop w:val="0"/>
      <w:marBottom w:val="0"/>
      <w:divBdr>
        <w:top w:val="none" w:sz="0" w:space="0" w:color="auto"/>
        <w:left w:val="none" w:sz="0" w:space="0" w:color="auto"/>
        <w:bottom w:val="none" w:sz="0" w:space="0" w:color="auto"/>
        <w:right w:val="none" w:sz="0" w:space="0" w:color="auto"/>
      </w:divBdr>
    </w:div>
    <w:div w:id="1765344579">
      <w:bodyDiv w:val="1"/>
      <w:marLeft w:val="0"/>
      <w:marRight w:val="0"/>
      <w:marTop w:val="0"/>
      <w:marBottom w:val="0"/>
      <w:divBdr>
        <w:top w:val="none" w:sz="0" w:space="0" w:color="auto"/>
        <w:left w:val="none" w:sz="0" w:space="0" w:color="auto"/>
        <w:bottom w:val="none" w:sz="0" w:space="0" w:color="auto"/>
        <w:right w:val="none" w:sz="0" w:space="0" w:color="auto"/>
      </w:divBdr>
    </w:div>
    <w:div w:id="1765957908">
      <w:bodyDiv w:val="1"/>
      <w:marLeft w:val="0"/>
      <w:marRight w:val="0"/>
      <w:marTop w:val="0"/>
      <w:marBottom w:val="0"/>
      <w:divBdr>
        <w:top w:val="none" w:sz="0" w:space="0" w:color="auto"/>
        <w:left w:val="none" w:sz="0" w:space="0" w:color="auto"/>
        <w:bottom w:val="none" w:sz="0" w:space="0" w:color="auto"/>
        <w:right w:val="none" w:sz="0" w:space="0" w:color="auto"/>
      </w:divBdr>
    </w:div>
    <w:div w:id="1773740232">
      <w:bodyDiv w:val="1"/>
      <w:marLeft w:val="0"/>
      <w:marRight w:val="0"/>
      <w:marTop w:val="0"/>
      <w:marBottom w:val="0"/>
      <w:divBdr>
        <w:top w:val="none" w:sz="0" w:space="0" w:color="auto"/>
        <w:left w:val="none" w:sz="0" w:space="0" w:color="auto"/>
        <w:bottom w:val="none" w:sz="0" w:space="0" w:color="auto"/>
        <w:right w:val="none" w:sz="0" w:space="0" w:color="auto"/>
      </w:divBdr>
    </w:div>
    <w:div w:id="1786849068">
      <w:bodyDiv w:val="1"/>
      <w:marLeft w:val="0"/>
      <w:marRight w:val="0"/>
      <w:marTop w:val="0"/>
      <w:marBottom w:val="0"/>
      <w:divBdr>
        <w:top w:val="none" w:sz="0" w:space="0" w:color="auto"/>
        <w:left w:val="none" w:sz="0" w:space="0" w:color="auto"/>
        <w:bottom w:val="none" w:sz="0" w:space="0" w:color="auto"/>
        <w:right w:val="none" w:sz="0" w:space="0" w:color="auto"/>
      </w:divBdr>
    </w:div>
    <w:div w:id="1788693149">
      <w:bodyDiv w:val="1"/>
      <w:marLeft w:val="0"/>
      <w:marRight w:val="0"/>
      <w:marTop w:val="0"/>
      <w:marBottom w:val="0"/>
      <w:divBdr>
        <w:top w:val="none" w:sz="0" w:space="0" w:color="auto"/>
        <w:left w:val="none" w:sz="0" w:space="0" w:color="auto"/>
        <w:bottom w:val="none" w:sz="0" w:space="0" w:color="auto"/>
        <w:right w:val="none" w:sz="0" w:space="0" w:color="auto"/>
      </w:divBdr>
    </w:div>
    <w:div w:id="1797602534">
      <w:bodyDiv w:val="1"/>
      <w:marLeft w:val="0"/>
      <w:marRight w:val="0"/>
      <w:marTop w:val="0"/>
      <w:marBottom w:val="0"/>
      <w:divBdr>
        <w:top w:val="none" w:sz="0" w:space="0" w:color="auto"/>
        <w:left w:val="none" w:sz="0" w:space="0" w:color="auto"/>
        <w:bottom w:val="none" w:sz="0" w:space="0" w:color="auto"/>
        <w:right w:val="none" w:sz="0" w:space="0" w:color="auto"/>
      </w:divBdr>
    </w:div>
    <w:div w:id="1812475817">
      <w:bodyDiv w:val="1"/>
      <w:marLeft w:val="0"/>
      <w:marRight w:val="0"/>
      <w:marTop w:val="0"/>
      <w:marBottom w:val="0"/>
      <w:divBdr>
        <w:top w:val="none" w:sz="0" w:space="0" w:color="auto"/>
        <w:left w:val="none" w:sz="0" w:space="0" w:color="auto"/>
        <w:bottom w:val="none" w:sz="0" w:space="0" w:color="auto"/>
        <w:right w:val="none" w:sz="0" w:space="0" w:color="auto"/>
      </w:divBdr>
    </w:div>
    <w:div w:id="1818644373">
      <w:bodyDiv w:val="1"/>
      <w:marLeft w:val="0"/>
      <w:marRight w:val="0"/>
      <w:marTop w:val="0"/>
      <w:marBottom w:val="0"/>
      <w:divBdr>
        <w:top w:val="none" w:sz="0" w:space="0" w:color="auto"/>
        <w:left w:val="none" w:sz="0" w:space="0" w:color="auto"/>
        <w:bottom w:val="none" w:sz="0" w:space="0" w:color="auto"/>
        <w:right w:val="none" w:sz="0" w:space="0" w:color="auto"/>
      </w:divBdr>
    </w:div>
    <w:div w:id="1825047577">
      <w:bodyDiv w:val="1"/>
      <w:marLeft w:val="0"/>
      <w:marRight w:val="0"/>
      <w:marTop w:val="0"/>
      <w:marBottom w:val="0"/>
      <w:divBdr>
        <w:top w:val="none" w:sz="0" w:space="0" w:color="auto"/>
        <w:left w:val="none" w:sz="0" w:space="0" w:color="auto"/>
        <w:bottom w:val="none" w:sz="0" w:space="0" w:color="auto"/>
        <w:right w:val="none" w:sz="0" w:space="0" w:color="auto"/>
      </w:divBdr>
    </w:div>
    <w:div w:id="1832021240">
      <w:bodyDiv w:val="1"/>
      <w:marLeft w:val="0"/>
      <w:marRight w:val="0"/>
      <w:marTop w:val="0"/>
      <w:marBottom w:val="0"/>
      <w:divBdr>
        <w:top w:val="none" w:sz="0" w:space="0" w:color="auto"/>
        <w:left w:val="none" w:sz="0" w:space="0" w:color="auto"/>
        <w:bottom w:val="none" w:sz="0" w:space="0" w:color="auto"/>
        <w:right w:val="none" w:sz="0" w:space="0" w:color="auto"/>
      </w:divBdr>
    </w:div>
    <w:div w:id="1869563771">
      <w:bodyDiv w:val="1"/>
      <w:marLeft w:val="0"/>
      <w:marRight w:val="0"/>
      <w:marTop w:val="0"/>
      <w:marBottom w:val="0"/>
      <w:divBdr>
        <w:top w:val="none" w:sz="0" w:space="0" w:color="auto"/>
        <w:left w:val="none" w:sz="0" w:space="0" w:color="auto"/>
        <w:bottom w:val="none" w:sz="0" w:space="0" w:color="auto"/>
        <w:right w:val="none" w:sz="0" w:space="0" w:color="auto"/>
      </w:divBdr>
    </w:div>
    <w:div w:id="1880970606">
      <w:bodyDiv w:val="1"/>
      <w:marLeft w:val="0"/>
      <w:marRight w:val="0"/>
      <w:marTop w:val="0"/>
      <w:marBottom w:val="0"/>
      <w:divBdr>
        <w:top w:val="none" w:sz="0" w:space="0" w:color="auto"/>
        <w:left w:val="none" w:sz="0" w:space="0" w:color="auto"/>
        <w:bottom w:val="none" w:sz="0" w:space="0" w:color="auto"/>
        <w:right w:val="none" w:sz="0" w:space="0" w:color="auto"/>
      </w:divBdr>
    </w:div>
    <w:div w:id="1893223889">
      <w:bodyDiv w:val="1"/>
      <w:marLeft w:val="0"/>
      <w:marRight w:val="0"/>
      <w:marTop w:val="0"/>
      <w:marBottom w:val="0"/>
      <w:divBdr>
        <w:top w:val="none" w:sz="0" w:space="0" w:color="auto"/>
        <w:left w:val="none" w:sz="0" w:space="0" w:color="auto"/>
        <w:bottom w:val="none" w:sz="0" w:space="0" w:color="auto"/>
        <w:right w:val="none" w:sz="0" w:space="0" w:color="auto"/>
      </w:divBdr>
    </w:div>
    <w:div w:id="1901406338">
      <w:bodyDiv w:val="1"/>
      <w:marLeft w:val="0"/>
      <w:marRight w:val="0"/>
      <w:marTop w:val="0"/>
      <w:marBottom w:val="0"/>
      <w:divBdr>
        <w:top w:val="none" w:sz="0" w:space="0" w:color="auto"/>
        <w:left w:val="none" w:sz="0" w:space="0" w:color="auto"/>
        <w:bottom w:val="none" w:sz="0" w:space="0" w:color="auto"/>
        <w:right w:val="none" w:sz="0" w:space="0" w:color="auto"/>
      </w:divBdr>
    </w:div>
    <w:div w:id="1908488753">
      <w:bodyDiv w:val="1"/>
      <w:marLeft w:val="0"/>
      <w:marRight w:val="0"/>
      <w:marTop w:val="0"/>
      <w:marBottom w:val="0"/>
      <w:divBdr>
        <w:top w:val="none" w:sz="0" w:space="0" w:color="auto"/>
        <w:left w:val="none" w:sz="0" w:space="0" w:color="auto"/>
        <w:bottom w:val="none" w:sz="0" w:space="0" w:color="auto"/>
        <w:right w:val="none" w:sz="0" w:space="0" w:color="auto"/>
      </w:divBdr>
    </w:div>
    <w:div w:id="1916817371">
      <w:bodyDiv w:val="1"/>
      <w:marLeft w:val="0"/>
      <w:marRight w:val="0"/>
      <w:marTop w:val="0"/>
      <w:marBottom w:val="0"/>
      <w:divBdr>
        <w:top w:val="none" w:sz="0" w:space="0" w:color="auto"/>
        <w:left w:val="none" w:sz="0" w:space="0" w:color="auto"/>
        <w:bottom w:val="none" w:sz="0" w:space="0" w:color="auto"/>
        <w:right w:val="none" w:sz="0" w:space="0" w:color="auto"/>
      </w:divBdr>
    </w:div>
    <w:div w:id="1930774766">
      <w:bodyDiv w:val="1"/>
      <w:marLeft w:val="0"/>
      <w:marRight w:val="0"/>
      <w:marTop w:val="0"/>
      <w:marBottom w:val="0"/>
      <w:divBdr>
        <w:top w:val="none" w:sz="0" w:space="0" w:color="auto"/>
        <w:left w:val="none" w:sz="0" w:space="0" w:color="auto"/>
        <w:bottom w:val="none" w:sz="0" w:space="0" w:color="auto"/>
        <w:right w:val="none" w:sz="0" w:space="0" w:color="auto"/>
      </w:divBdr>
    </w:div>
    <w:div w:id="1933196540">
      <w:bodyDiv w:val="1"/>
      <w:marLeft w:val="0"/>
      <w:marRight w:val="0"/>
      <w:marTop w:val="0"/>
      <w:marBottom w:val="0"/>
      <w:divBdr>
        <w:top w:val="none" w:sz="0" w:space="0" w:color="auto"/>
        <w:left w:val="none" w:sz="0" w:space="0" w:color="auto"/>
        <w:bottom w:val="none" w:sz="0" w:space="0" w:color="auto"/>
        <w:right w:val="none" w:sz="0" w:space="0" w:color="auto"/>
      </w:divBdr>
    </w:div>
    <w:div w:id="1937663768">
      <w:bodyDiv w:val="1"/>
      <w:marLeft w:val="0"/>
      <w:marRight w:val="0"/>
      <w:marTop w:val="0"/>
      <w:marBottom w:val="0"/>
      <w:divBdr>
        <w:top w:val="none" w:sz="0" w:space="0" w:color="auto"/>
        <w:left w:val="none" w:sz="0" w:space="0" w:color="auto"/>
        <w:bottom w:val="none" w:sz="0" w:space="0" w:color="auto"/>
        <w:right w:val="none" w:sz="0" w:space="0" w:color="auto"/>
      </w:divBdr>
    </w:div>
    <w:div w:id="1943223861">
      <w:bodyDiv w:val="1"/>
      <w:marLeft w:val="0"/>
      <w:marRight w:val="0"/>
      <w:marTop w:val="0"/>
      <w:marBottom w:val="0"/>
      <w:divBdr>
        <w:top w:val="none" w:sz="0" w:space="0" w:color="auto"/>
        <w:left w:val="none" w:sz="0" w:space="0" w:color="auto"/>
        <w:bottom w:val="none" w:sz="0" w:space="0" w:color="auto"/>
        <w:right w:val="none" w:sz="0" w:space="0" w:color="auto"/>
      </w:divBdr>
    </w:div>
    <w:div w:id="1943995496">
      <w:bodyDiv w:val="1"/>
      <w:marLeft w:val="0"/>
      <w:marRight w:val="0"/>
      <w:marTop w:val="0"/>
      <w:marBottom w:val="0"/>
      <w:divBdr>
        <w:top w:val="none" w:sz="0" w:space="0" w:color="auto"/>
        <w:left w:val="none" w:sz="0" w:space="0" w:color="auto"/>
        <w:bottom w:val="none" w:sz="0" w:space="0" w:color="auto"/>
        <w:right w:val="none" w:sz="0" w:space="0" w:color="auto"/>
      </w:divBdr>
    </w:div>
    <w:div w:id="1967619756">
      <w:bodyDiv w:val="1"/>
      <w:marLeft w:val="0"/>
      <w:marRight w:val="0"/>
      <w:marTop w:val="0"/>
      <w:marBottom w:val="0"/>
      <w:divBdr>
        <w:top w:val="none" w:sz="0" w:space="0" w:color="auto"/>
        <w:left w:val="none" w:sz="0" w:space="0" w:color="auto"/>
        <w:bottom w:val="none" w:sz="0" w:space="0" w:color="auto"/>
        <w:right w:val="none" w:sz="0" w:space="0" w:color="auto"/>
      </w:divBdr>
    </w:div>
    <w:div w:id="1968318884">
      <w:bodyDiv w:val="1"/>
      <w:marLeft w:val="0"/>
      <w:marRight w:val="0"/>
      <w:marTop w:val="0"/>
      <w:marBottom w:val="0"/>
      <w:divBdr>
        <w:top w:val="none" w:sz="0" w:space="0" w:color="auto"/>
        <w:left w:val="none" w:sz="0" w:space="0" w:color="auto"/>
        <w:bottom w:val="none" w:sz="0" w:space="0" w:color="auto"/>
        <w:right w:val="none" w:sz="0" w:space="0" w:color="auto"/>
      </w:divBdr>
    </w:div>
    <w:div w:id="1975674839">
      <w:bodyDiv w:val="1"/>
      <w:marLeft w:val="0"/>
      <w:marRight w:val="0"/>
      <w:marTop w:val="0"/>
      <w:marBottom w:val="0"/>
      <w:divBdr>
        <w:top w:val="none" w:sz="0" w:space="0" w:color="auto"/>
        <w:left w:val="none" w:sz="0" w:space="0" w:color="auto"/>
        <w:bottom w:val="none" w:sz="0" w:space="0" w:color="auto"/>
        <w:right w:val="none" w:sz="0" w:space="0" w:color="auto"/>
      </w:divBdr>
    </w:div>
    <w:div w:id="1976987504">
      <w:bodyDiv w:val="1"/>
      <w:marLeft w:val="0"/>
      <w:marRight w:val="0"/>
      <w:marTop w:val="0"/>
      <w:marBottom w:val="0"/>
      <w:divBdr>
        <w:top w:val="none" w:sz="0" w:space="0" w:color="auto"/>
        <w:left w:val="none" w:sz="0" w:space="0" w:color="auto"/>
        <w:bottom w:val="none" w:sz="0" w:space="0" w:color="auto"/>
        <w:right w:val="none" w:sz="0" w:space="0" w:color="auto"/>
      </w:divBdr>
    </w:div>
    <w:div w:id="1977106395">
      <w:bodyDiv w:val="1"/>
      <w:marLeft w:val="0"/>
      <w:marRight w:val="0"/>
      <w:marTop w:val="0"/>
      <w:marBottom w:val="0"/>
      <w:divBdr>
        <w:top w:val="none" w:sz="0" w:space="0" w:color="auto"/>
        <w:left w:val="none" w:sz="0" w:space="0" w:color="auto"/>
        <w:bottom w:val="none" w:sz="0" w:space="0" w:color="auto"/>
        <w:right w:val="none" w:sz="0" w:space="0" w:color="auto"/>
      </w:divBdr>
    </w:div>
    <w:div w:id="1994260887">
      <w:bodyDiv w:val="1"/>
      <w:marLeft w:val="0"/>
      <w:marRight w:val="0"/>
      <w:marTop w:val="0"/>
      <w:marBottom w:val="0"/>
      <w:divBdr>
        <w:top w:val="none" w:sz="0" w:space="0" w:color="auto"/>
        <w:left w:val="none" w:sz="0" w:space="0" w:color="auto"/>
        <w:bottom w:val="none" w:sz="0" w:space="0" w:color="auto"/>
        <w:right w:val="none" w:sz="0" w:space="0" w:color="auto"/>
      </w:divBdr>
    </w:div>
    <w:div w:id="2005205099">
      <w:bodyDiv w:val="1"/>
      <w:marLeft w:val="0"/>
      <w:marRight w:val="0"/>
      <w:marTop w:val="0"/>
      <w:marBottom w:val="0"/>
      <w:divBdr>
        <w:top w:val="none" w:sz="0" w:space="0" w:color="auto"/>
        <w:left w:val="none" w:sz="0" w:space="0" w:color="auto"/>
        <w:bottom w:val="none" w:sz="0" w:space="0" w:color="auto"/>
        <w:right w:val="none" w:sz="0" w:space="0" w:color="auto"/>
      </w:divBdr>
    </w:div>
    <w:div w:id="2010131574">
      <w:bodyDiv w:val="1"/>
      <w:marLeft w:val="0"/>
      <w:marRight w:val="0"/>
      <w:marTop w:val="0"/>
      <w:marBottom w:val="0"/>
      <w:divBdr>
        <w:top w:val="none" w:sz="0" w:space="0" w:color="auto"/>
        <w:left w:val="none" w:sz="0" w:space="0" w:color="auto"/>
        <w:bottom w:val="none" w:sz="0" w:space="0" w:color="auto"/>
        <w:right w:val="none" w:sz="0" w:space="0" w:color="auto"/>
      </w:divBdr>
    </w:div>
    <w:div w:id="2021734889">
      <w:bodyDiv w:val="1"/>
      <w:marLeft w:val="0"/>
      <w:marRight w:val="0"/>
      <w:marTop w:val="0"/>
      <w:marBottom w:val="0"/>
      <w:divBdr>
        <w:top w:val="none" w:sz="0" w:space="0" w:color="auto"/>
        <w:left w:val="none" w:sz="0" w:space="0" w:color="auto"/>
        <w:bottom w:val="none" w:sz="0" w:space="0" w:color="auto"/>
        <w:right w:val="none" w:sz="0" w:space="0" w:color="auto"/>
      </w:divBdr>
    </w:div>
    <w:div w:id="2025478699">
      <w:bodyDiv w:val="1"/>
      <w:marLeft w:val="0"/>
      <w:marRight w:val="0"/>
      <w:marTop w:val="0"/>
      <w:marBottom w:val="0"/>
      <w:divBdr>
        <w:top w:val="none" w:sz="0" w:space="0" w:color="auto"/>
        <w:left w:val="none" w:sz="0" w:space="0" w:color="auto"/>
        <w:bottom w:val="none" w:sz="0" w:space="0" w:color="auto"/>
        <w:right w:val="none" w:sz="0" w:space="0" w:color="auto"/>
      </w:divBdr>
    </w:div>
    <w:div w:id="2027322165">
      <w:bodyDiv w:val="1"/>
      <w:marLeft w:val="0"/>
      <w:marRight w:val="0"/>
      <w:marTop w:val="0"/>
      <w:marBottom w:val="0"/>
      <w:divBdr>
        <w:top w:val="none" w:sz="0" w:space="0" w:color="auto"/>
        <w:left w:val="none" w:sz="0" w:space="0" w:color="auto"/>
        <w:bottom w:val="none" w:sz="0" w:space="0" w:color="auto"/>
        <w:right w:val="none" w:sz="0" w:space="0" w:color="auto"/>
      </w:divBdr>
    </w:div>
    <w:div w:id="2052149077">
      <w:bodyDiv w:val="1"/>
      <w:marLeft w:val="0"/>
      <w:marRight w:val="0"/>
      <w:marTop w:val="0"/>
      <w:marBottom w:val="0"/>
      <w:divBdr>
        <w:top w:val="none" w:sz="0" w:space="0" w:color="auto"/>
        <w:left w:val="none" w:sz="0" w:space="0" w:color="auto"/>
        <w:bottom w:val="none" w:sz="0" w:space="0" w:color="auto"/>
        <w:right w:val="none" w:sz="0" w:space="0" w:color="auto"/>
      </w:divBdr>
    </w:div>
    <w:div w:id="2055423372">
      <w:bodyDiv w:val="1"/>
      <w:marLeft w:val="0"/>
      <w:marRight w:val="0"/>
      <w:marTop w:val="0"/>
      <w:marBottom w:val="0"/>
      <w:divBdr>
        <w:top w:val="none" w:sz="0" w:space="0" w:color="auto"/>
        <w:left w:val="none" w:sz="0" w:space="0" w:color="auto"/>
        <w:bottom w:val="none" w:sz="0" w:space="0" w:color="auto"/>
        <w:right w:val="none" w:sz="0" w:space="0" w:color="auto"/>
      </w:divBdr>
    </w:div>
    <w:div w:id="2069255871">
      <w:bodyDiv w:val="1"/>
      <w:marLeft w:val="0"/>
      <w:marRight w:val="0"/>
      <w:marTop w:val="0"/>
      <w:marBottom w:val="0"/>
      <w:divBdr>
        <w:top w:val="none" w:sz="0" w:space="0" w:color="auto"/>
        <w:left w:val="none" w:sz="0" w:space="0" w:color="auto"/>
        <w:bottom w:val="none" w:sz="0" w:space="0" w:color="auto"/>
        <w:right w:val="none" w:sz="0" w:space="0" w:color="auto"/>
      </w:divBdr>
    </w:div>
    <w:div w:id="2075161959">
      <w:bodyDiv w:val="1"/>
      <w:marLeft w:val="0"/>
      <w:marRight w:val="0"/>
      <w:marTop w:val="0"/>
      <w:marBottom w:val="0"/>
      <w:divBdr>
        <w:top w:val="none" w:sz="0" w:space="0" w:color="auto"/>
        <w:left w:val="none" w:sz="0" w:space="0" w:color="auto"/>
        <w:bottom w:val="none" w:sz="0" w:space="0" w:color="auto"/>
        <w:right w:val="none" w:sz="0" w:space="0" w:color="auto"/>
      </w:divBdr>
    </w:div>
    <w:div w:id="2082481327">
      <w:bodyDiv w:val="1"/>
      <w:marLeft w:val="0"/>
      <w:marRight w:val="0"/>
      <w:marTop w:val="0"/>
      <w:marBottom w:val="0"/>
      <w:divBdr>
        <w:top w:val="none" w:sz="0" w:space="0" w:color="auto"/>
        <w:left w:val="none" w:sz="0" w:space="0" w:color="auto"/>
        <w:bottom w:val="none" w:sz="0" w:space="0" w:color="auto"/>
        <w:right w:val="none" w:sz="0" w:space="0" w:color="auto"/>
      </w:divBdr>
    </w:div>
    <w:div w:id="2083094333">
      <w:bodyDiv w:val="1"/>
      <w:marLeft w:val="0"/>
      <w:marRight w:val="0"/>
      <w:marTop w:val="0"/>
      <w:marBottom w:val="0"/>
      <w:divBdr>
        <w:top w:val="none" w:sz="0" w:space="0" w:color="auto"/>
        <w:left w:val="none" w:sz="0" w:space="0" w:color="auto"/>
        <w:bottom w:val="none" w:sz="0" w:space="0" w:color="auto"/>
        <w:right w:val="none" w:sz="0" w:space="0" w:color="auto"/>
      </w:divBdr>
    </w:div>
    <w:div w:id="2087919708">
      <w:bodyDiv w:val="1"/>
      <w:marLeft w:val="0"/>
      <w:marRight w:val="0"/>
      <w:marTop w:val="0"/>
      <w:marBottom w:val="0"/>
      <w:divBdr>
        <w:top w:val="none" w:sz="0" w:space="0" w:color="auto"/>
        <w:left w:val="none" w:sz="0" w:space="0" w:color="auto"/>
        <w:bottom w:val="none" w:sz="0" w:space="0" w:color="auto"/>
        <w:right w:val="none" w:sz="0" w:space="0" w:color="auto"/>
      </w:divBdr>
    </w:div>
    <w:div w:id="2111505346">
      <w:bodyDiv w:val="1"/>
      <w:marLeft w:val="0"/>
      <w:marRight w:val="0"/>
      <w:marTop w:val="0"/>
      <w:marBottom w:val="0"/>
      <w:divBdr>
        <w:top w:val="none" w:sz="0" w:space="0" w:color="auto"/>
        <w:left w:val="none" w:sz="0" w:space="0" w:color="auto"/>
        <w:bottom w:val="none" w:sz="0" w:space="0" w:color="auto"/>
        <w:right w:val="none" w:sz="0" w:space="0" w:color="auto"/>
      </w:divBdr>
      <w:divsChild>
        <w:div w:id="731780871">
          <w:marLeft w:val="360"/>
          <w:marRight w:val="0"/>
          <w:marTop w:val="200"/>
          <w:marBottom w:val="0"/>
          <w:divBdr>
            <w:top w:val="none" w:sz="0" w:space="0" w:color="auto"/>
            <w:left w:val="none" w:sz="0" w:space="0" w:color="auto"/>
            <w:bottom w:val="none" w:sz="0" w:space="0" w:color="auto"/>
            <w:right w:val="none" w:sz="0" w:space="0" w:color="auto"/>
          </w:divBdr>
        </w:div>
      </w:divsChild>
    </w:div>
    <w:div w:id="2114282142">
      <w:bodyDiv w:val="1"/>
      <w:marLeft w:val="0"/>
      <w:marRight w:val="0"/>
      <w:marTop w:val="0"/>
      <w:marBottom w:val="0"/>
      <w:divBdr>
        <w:top w:val="none" w:sz="0" w:space="0" w:color="auto"/>
        <w:left w:val="none" w:sz="0" w:space="0" w:color="auto"/>
        <w:bottom w:val="none" w:sz="0" w:space="0" w:color="auto"/>
        <w:right w:val="none" w:sz="0" w:space="0" w:color="auto"/>
      </w:divBdr>
      <w:divsChild>
        <w:div w:id="943154720">
          <w:marLeft w:val="547"/>
          <w:marRight w:val="0"/>
          <w:marTop w:val="0"/>
          <w:marBottom w:val="0"/>
          <w:divBdr>
            <w:top w:val="none" w:sz="0" w:space="0" w:color="auto"/>
            <w:left w:val="none" w:sz="0" w:space="0" w:color="auto"/>
            <w:bottom w:val="none" w:sz="0" w:space="0" w:color="auto"/>
            <w:right w:val="none" w:sz="0" w:space="0" w:color="auto"/>
          </w:divBdr>
        </w:div>
        <w:div w:id="1050765267">
          <w:marLeft w:val="547"/>
          <w:marRight w:val="0"/>
          <w:marTop w:val="0"/>
          <w:marBottom w:val="0"/>
          <w:divBdr>
            <w:top w:val="none" w:sz="0" w:space="0" w:color="auto"/>
            <w:left w:val="none" w:sz="0" w:space="0" w:color="auto"/>
            <w:bottom w:val="none" w:sz="0" w:space="0" w:color="auto"/>
            <w:right w:val="none" w:sz="0" w:space="0" w:color="auto"/>
          </w:divBdr>
        </w:div>
        <w:div w:id="1560049485">
          <w:marLeft w:val="547"/>
          <w:marRight w:val="0"/>
          <w:marTop w:val="0"/>
          <w:marBottom w:val="0"/>
          <w:divBdr>
            <w:top w:val="none" w:sz="0" w:space="0" w:color="auto"/>
            <w:left w:val="none" w:sz="0" w:space="0" w:color="auto"/>
            <w:bottom w:val="none" w:sz="0" w:space="0" w:color="auto"/>
            <w:right w:val="none" w:sz="0" w:space="0" w:color="auto"/>
          </w:divBdr>
        </w:div>
        <w:div w:id="2078042309">
          <w:marLeft w:val="547"/>
          <w:marRight w:val="0"/>
          <w:marTop w:val="0"/>
          <w:marBottom w:val="0"/>
          <w:divBdr>
            <w:top w:val="none" w:sz="0" w:space="0" w:color="auto"/>
            <w:left w:val="none" w:sz="0" w:space="0" w:color="auto"/>
            <w:bottom w:val="none" w:sz="0" w:space="0" w:color="auto"/>
            <w:right w:val="none" w:sz="0" w:space="0" w:color="auto"/>
          </w:divBdr>
        </w:div>
        <w:div w:id="2092847932">
          <w:marLeft w:val="547"/>
          <w:marRight w:val="0"/>
          <w:marTop w:val="0"/>
          <w:marBottom w:val="0"/>
          <w:divBdr>
            <w:top w:val="none" w:sz="0" w:space="0" w:color="auto"/>
            <w:left w:val="none" w:sz="0" w:space="0" w:color="auto"/>
            <w:bottom w:val="none" w:sz="0" w:space="0" w:color="auto"/>
            <w:right w:val="none" w:sz="0" w:space="0" w:color="auto"/>
          </w:divBdr>
        </w:div>
        <w:div w:id="2122413915">
          <w:marLeft w:val="547"/>
          <w:marRight w:val="0"/>
          <w:marTop w:val="0"/>
          <w:marBottom w:val="0"/>
          <w:divBdr>
            <w:top w:val="none" w:sz="0" w:space="0" w:color="auto"/>
            <w:left w:val="none" w:sz="0" w:space="0" w:color="auto"/>
            <w:bottom w:val="none" w:sz="0" w:space="0" w:color="auto"/>
            <w:right w:val="none" w:sz="0" w:space="0" w:color="auto"/>
          </w:divBdr>
        </w:div>
      </w:divsChild>
    </w:div>
    <w:div w:id="2132819641">
      <w:bodyDiv w:val="1"/>
      <w:marLeft w:val="0"/>
      <w:marRight w:val="0"/>
      <w:marTop w:val="0"/>
      <w:marBottom w:val="0"/>
      <w:divBdr>
        <w:top w:val="none" w:sz="0" w:space="0" w:color="auto"/>
        <w:left w:val="none" w:sz="0" w:space="0" w:color="auto"/>
        <w:bottom w:val="none" w:sz="0" w:space="0" w:color="auto"/>
        <w:right w:val="none" w:sz="0" w:space="0" w:color="auto"/>
      </w:divBdr>
    </w:div>
    <w:div w:id="2133551859">
      <w:bodyDiv w:val="1"/>
      <w:marLeft w:val="0"/>
      <w:marRight w:val="0"/>
      <w:marTop w:val="0"/>
      <w:marBottom w:val="0"/>
      <w:divBdr>
        <w:top w:val="none" w:sz="0" w:space="0" w:color="auto"/>
        <w:left w:val="none" w:sz="0" w:space="0" w:color="auto"/>
        <w:bottom w:val="none" w:sz="0" w:space="0" w:color="auto"/>
        <w:right w:val="none" w:sz="0" w:space="0" w:color="auto"/>
      </w:divBdr>
    </w:div>
    <w:div w:id="2135320210">
      <w:bodyDiv w:val="1"/>
      <w:marLeft w:val="0"/>
      <w:marRight w:val="0"/>
      <w:marTop w:val="0"/>
      <w:marBottom w:val="0"/>
      <w:divBdr>
        <w:top w:val="none" w:sz="0" w:space="0" w:color="auto"/>
        <w:left w:val="none" w:sz="0" w:space="0" w:color="auto"/>
        <w:bottom w:val="none" w:sz="0" w:space="0" w:color="auto"/>
        <w:right w:val="none" w:sz="0" w:space="0" w:color="auto"/>
      </w:divBdr>
    </w:div>
    <w:div w:id="2138179725">
      <w:bodyDiv w:val="1"/>
      <w:marLeft w:val="0"/>
      <w:marRight w:val="0"/>
      <w:marTop w:val="0"/>
      <w:marBottom w:val="0"/>
      <w:divBdr>
        <w:top w:val="none" w:sz="0" w:space="0" w:color="auto"/>
        <w:left w:val="none" w:sz="0" w:space="0" w:color="auto"/>
        <w:bottom w:val="none" w:sz="0" w:space="0" w:color="auto"/>
        <w:right w:val="none" w:sz="0" w:space="0" w:color="auto"/>
      </w:divBdr>
    </w:div>
    <w:div w:id="2140957145">
      <w:bodyDiv w:val="1"/>
      <w:marLeft w:val="0"/>
      <w:marRight w:val="0"/>
      <w:marTop w:val="0"/>
      <w:marBottom w:val="0"/>
      <w:divBdr>
        <w:top w:val="none" w:sz="0" w:space="0" w:color="auto"/>
        <w:left w:val="none" w:sz="0" w:space="0" w:color="auto"/>
        <w:bottom w:val="none" w:sz="0" w:space="0" w:color="auto"/>
        <w:right w:val="none" w:sz="0" w:space="0" w:color="auto"/>
      </w:divBdr>
    </w:div>
    <w:div w:id="2143688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png"/><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image" Target="media/image42.emf"/><Relationship Id="rId55"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image" Target="media/image33.emf"/><Relationship Id="rId54" Type="http://schemas.openxmlformats.org/officeDocument/2006/relationships/image" Target="media/image4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43.emf"/><Relationship Id="rId3"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49.png"/></Relationships>
</file>

<file path=word/_rels/header1.xml.rels><?xml version="1.0" encoding="UTF-8" standalone="yes"?>
<Relationships xmlns="http://schemas.openxmlformats.org/package/2006/relationships"><Relationship Id="rId1" Type="http://schemas.openxmlformats.org/officeDocument/2006/relationships/image" Target="media/image47.png"/></Relationships>
</file>

<file path=word/_rels/header2.xml.rels><?xml version="1.0" encoding="UTF-8" standalone="yes"?>
<Relationships xmlns="http://schemas.openxmlformats.org/package/2006/relationships"><Relationship Id="rId2" Type="http://schemas.openxmlformats.org/officeDocument/2006/relationships/image" Target="media/image48.jpeg"/><Relationship Id="rId1" Type="http://schemas.openxmlformats.org/officeDocument/2006/relationships/image" Target="media/image47.png"/></Relationships>
</file>

<file path=word/_rels/header3.xml.rels><?xml version="1.0" encoding="UTF-8" standalone="yes"?>
<Relationships xmlns="http://schemas.openxmlformats.org/package/2006/relationships"><Relationship Id="rId1" Type="http://schemas.openxmlformats.org/officeDocument/2006/relationships/image" Target="media/image47.png"/></Relationships>
</file>

<file path=word/theme/theme1.xml><?xml version="1.0" encoding="utf-8"?>
<a:theme xmlns:a="http://schemas.openxmlformats.org/drawingml/2006/main" name="Tema de Office">
  <a:themeElements>
    <a:clrScheme name="Amarillo">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flejos">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Información Financiera y Rendición de Cunts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1823663-AA99-4C34-BAC9-330C4220D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58</Pages>
  <Words>10570</Words>
  <Characters>58140</Characters>
  <Application>Microsoft Office Word</Application>
  <DocSecurity>0</DocSecurity>
  <Lines>484</Lines>
  <Paragraphs>137</Paragraphs>
  <ScaleCrop>false</ScaleCrop>
  <HeadingPairs>
    <vt:vector size="2" baseType="variant">
      <vt:variant>
        <vt:lpstr>Título</vt:lpstr>
      </vt:variant>
      <vt:variant>
        <vt:i4>1</vt:i4>
      </vt:variant>
    </vt:vector>
  </HeadingPairs>
  <TitlesOfParts>
    <vt:vector size="1" baseType="lpstr">
      <vt:lpstr>Informe Financiero</vt:lpstr>
    </vt:vector>
  </TitlesOfParts>
  <Company>Hewlett-Packard Company</Company>
  <LinksUpToDate>false</LinksUpToDate>
  <CharactersWithSpaces>68573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Financiero</dc:title>
  <dc:subject>Segundo Trimestre 2022</dc:subject>
  <dc:creator>SALVADOR AGUIRRE ROEMRO</dc:creator>
  <cp:keywords/>
  <dc:description/>
  <cp:lastModifiedBy>Suelem Janeth González Rodríguez</cp:lastModifiedBy>
  <cp:revision>19</cp:revision>
  <cp:lastPrinted>2024-05-13T22:16:00Z</cp:lastPrinted>
  <dcterms:created xsi:type="dcterms:W3CDTF">2024-05-13T19:51:00Z</dcterms:created>
  <dcterms:modified xsi:type="dcterms:W3CDTF">2024-05-14T01:18:00Z</dcterms:modified>
</cp:coreProperties>
</file>